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5C7" w:rsidRPr="000E70A4" w:rsidRDefault="006206FF" w:rsidP="00AF6A75">
      <w:pPr>
        <w:ind w:firstLine="567"/>
        <w:jc w:val="center"/>
        <w:rPr>
          <w:b/>
          <w:noProof/>
        </w:rPr>
      </w:pPr>
      <w:r w:rsidRPr="000E70A4">
        <w:rPr>
          <w:b/>
          <w:noProof/>
        </w:rPr>
        <w:t xml:space="preserve">УАІБ взяла участь у </w:t>
      </w:r>
      <w:r w:rsidR="005C75C7" w:rsidRPr="000E70A4">
        <w:rPr>
          <w:b/>
          <w:noProof/>
        </w:rPr>
        <w:t>10-</w:t>
      </w:r>
      <w:r w:rsidRPr="000E70A4">
        <w:rPr>
          <w:b/>
          <w:noProof/>
        </w:rPr>
        <w:t>й</w:t>
      </w:r>
      <w:r w:rsidR="005C75C7" w:rsidRPr="000E70A4">
        <w:rPr>
          <w:b/>
          <w:noProof/>
        </w:rPr>
        <w:t xml:space="preserve"> </w:t>
      </w:r>
      <w:r w:rsidR="00BF5745" w:rsidRPr="000E70A4">
        <w:rPr>
          <w:b/>
          <w:noProof/>
        </w:rPr>
        <w:t xml:space="preserve">щорічній </w:t>
      </w:r>
      <w:r w:rsidR="005C75C7" w:rsidRPr="000E70A4">
        <w:rPr>
          <w:b/>
          <w:noProof/>
        </w:rPr>
        <w:t>зустріч</w:t>
      </w:r>
      <w:r w:rsidRPr="000E70A4">
        <w:rPr>
          <w:b/>
          <w:noProof/>
        </w:rPr>
        <w:t>і</w:t>
      </w:r>
      <w:r w:rsidR="005C75C7" w:rsidRPr="000E70A4">
        <w:rPr>
          <w:b/>
          <w:noProof/>
        </w:rPr>
        <w:t xml:space="preserve"> EFAMA</w:t>
      </w:r>
      <w:r w:rsidR="00362CC0">
        <w:rPr>
          <w:b/>
          <w:noProof/>
        </w:rPr>
        <w:t xml:space="preserve"> </w:t>
      </w:r>
      <w:r w:rsidR="005C75C7" w:rsidRPr="000E70A4">
        <w:rPr>
          <w:b/>
          <w:noProof/>
        </w:rPr>
        <w:t xml:space="preserve">та </w:t>
      </w:r>
      <w:r w:rsidRPr="000E70A4">
        <w:rPr>
          <w:b/>
          <w:noProof/>
        </w:rPr>
        <w:t xml:space="preserve">асоціацій </w:t>
      </w:r>
      <w:r w:rsidR="00BF5745" w:rsidRPr="000E70A4">
        <w:rPr>
          <w:b/>
          <w:noProof/>
        </w:rPr>
        <w:t xml:space="preserve">CEE-Initiative </w:t>
      </w:r>
      <w:r w:rsidRPr="000E70A4">
        <w:rPr>
          <w:b/>
          <w:noProof/>
        </w:rPr>
        <w:t>у</w:t>
      </w:r>
      <w:r w:rsidR="005C75C7" w:rsidRPr="000E70A4">
        <w:rPr>
          <w:b/>
          <w:noProof/>
        </w:rPr>
        <w:t xml:space="preserve"> Загреб</w:t>
      </w:r>
      <w:r w:rsidRPr="000E70A4">
        <w:rPr>
          <w:b/>
          <w:noProof/>
        </w:rPr>
        <w:t>і</w:t>
      </w:r>
    </w:p>
    <w:p w:rsidR="005C75C7" w:rsidRPr="000E70A4" w:rsidRDefault="005C75C7" w:rsidP="00AF6A75">
      <w:pPr>
        <w:ind w:firstLine="567"/>
        <w:jc w:val="both"/>
        <w:rPr>
          <w:noProof/>
        </w:rPr>
      </w:pPr>
    </w:p>
    <w:p w:rsidR="00013171" w:rsidRPr="000E70A4" w:rsidRDefault="00682CF8" w:rsidP="00AF6A75">
      <w:pPr>
        <w:ind w:firstLine="567"/>
        <w:jc w:val="both"/>
        <w:rPr>
          <w:b/>
          <w:noProof/>
        </w:rPr>
      </w:pPr>
      <w:r w:rsidRPr="000E70A4">
        <w:rPr>
          <w:noProof/>
        </w:rPr>
        <w:t xml:space="preserve">Представник УАІБ взяла участь у 10-ій </w:t>
      </w:r>
      <w:r w:rsidR="005C69C8" w:rsidRPr="000E70A4">
        <w:rPr>
          <w:noProof/>
        </w:rPr>
        <w:t xml:space="preserve">щорічній </w:t>
      </w:r>
      <w:r w:rsidRPr="000E70A4">
        <w:rPr>
          <w:noProof/>
        </w:rPr>
        <w:t>зустрічі EFAMA та групи асоціацій КУА</w:t>
      </w:r>
      <w:r w:rsidR="00D862F0" w:rsidRPr="000E70A4">
        <w:rPr>
          <w:noProof/>
        </w:rPr>
        <w:t xml:space="preserve"> регіону Центральної та Східної Європи (CEE-</w:t>
      </w:r>
      <w:r w:rsidR="00D862F0" w:rsidRPr="000E70A4">
        <w:rPr>
          <w:noProof/>
          <w:lang w:val="en-US"/>
        </w:rPr>
        <w:t>Initiative</w:t>
      </w:r>
      <w:r w:rsidR="00D862F0" w:rsidRPr="000E70A4">
        <w:rPr>
          <w:noProof/>
        </w:rPr>
        <w:t>)</w:t>
      </w:r>
      <w:r w:rsidRPr="000E70A4">
        <w:rPr>
          <w:noProof/>
        </w:rPr>
        <w:t>, що відбулася у Загребі 12-13 квітня 2018 року.</w:t>
      </w:r>
      <w:r w:rsidR="00007075" w:rsidRPr="000E70A4">
        <w:rPr>
          <w:noProof/>
        </w:rPr>
        <w:t xml:space="preserve"> У</w:t>
      </w:r>
      <w:r w:rsidR="00AF6A75" w:rsidRPr="000E70A4">
        <w:rPr>
          <w:noProof/>
        </w:rPr>
        <w:t xml:space="preserve">часниками </w:t>
      </w:r>
      <w:r w:rsidR="00007075" w:rsidRPr="000E70A4">
        <w:rPr>
          <w:noProof/>
        </w:rPr>
        <w:t>зустрічі</w:t>
      </w:r>
      <w:r w:rsidR="002047E5" w:rsidRPr="000E70A4">
        <w:rPr>
          <w:noProof/>
        </w:rPr>
        <w:t xml:space="preserve"> </w:t>
      </w:r>
      <w:r w:rsidR="00AF6A75" w:rsidRPr="000E70A4">
        <w:rPr>
          <w:noProof/>
        </w:rPr>
        <w:t xml:space="preserve">стали </w:t>
      </w:r>
      <w:r w:rsidR="00007075" w:rsidRPr="000E70A4">
        <w:rPr>
          <w:noProof/>
        </w:rPr>
        <w:t>9 національних асоціацій</w:t>
      </w:r>
      <w:r w:rsidR="00E13BCD" w:rsidRPr="000E70A4">
        <w:rPr>
          <w:noProof/>
        </w:rPr>
        <w:t xml:space="preserve"> практично з усіх країн ЦСЄ (</w:t>
      </w:r>
      <w:r w:rsidR="00A24D31" w:rsidRPr="000E70A4">
        <w:rPr>
          <w:noProof/>
        </w:rPr>
        <w:t>Австрія</w:t>
      </w:r>
      <w:r w:rsidR="00AF49C8" w:rsidRPr="000E70A4">
        <w:rPr>
          <w:noProof/>
        </w:rPr>
        <w:t>,</w:t>
      </w:r>
      <w:r w:rsidR="00A24D31" w:rsidRPr="000E70A4">
        <w:rPr>
          <w:noProof/>
        </w:rPr>
        <w:t xml:space="preserve"> Болгарія</w:t>
      </w:r>
      <w:r w:rsidR="00AF49C8" w:rsidRPr="000E70A4">
        <w:rPr>
          <w:noProof/>
        </w:rPr>
        <w:t>,</w:t>
      </w:r>
      <w:r w:rsidR="00A24D31" w:rsidRPr="000E70A4">
        <w:rPr>
          <w:noProof/>
        </w:rPr>
        <w:t xml:space="preserve"> </w:t>
      </w:r>
      <w:r w:rsidR="00AF49C8" w:rsidRPr="000E70A4">
        <w:rPr>
          <w:noProof/>
        </w:rPr>
        <w:t xml:space="preserve">Румунія, </w:t>
      </w:r>
      <w:r w:rsidR="00E13BCD" w:rsidRPr="000E70A4">
        <w:rPr>
          <w:noProof/>
        </w:rPr>
        <w:t xml:space="preserve">Словаччина, </w:t>
      </w:r>
      <w:r w:rsidR="00AF49C8" w:rsidRPr="000E70A4">
        <w:rPr>
          <w:noProof/>
        </w:rPr>
        <w:t xml:space="preserve">Словенія, </w:t>
      </w:r>
      <w:r w:rsidR="00E13BCD" w:rsidRPr="000E70A4">
        <w:rPr>
          <w:noProof/>
        </w:rPr>
        <w:t>Угорщина, Хорватія,</w:t>
      </w:r>
      <w:r w:rsidR="00A24D31" w:rsidRPr="000E70A4">
        <w:rPr>
          <w:noProof/>
        </w:rPr>
        <w:t xml:space="preserve"> </w:t>
      </w:r>
      <w:r w:rsidR="00AF49C8" w:rsidRPr="000E70A4">
        <w:rPr>
          <w:noProof/>
        </w:rPr>
        <w:t xml:space="preserve">Чехія </w:t>
      </w:r>
      <w:r w:rsidR="00A24D31" w:rsidRPr="000E70A4">
        <w:rPr>
          <w:noProof/>
        </w:rPr>
        <w:t>та Україна</w:t>
      </w:r>
      <w:r w:rsidR="00E13BCD" w:rsidRPr="000E70A4">
        <w:rPr>
          <w:noProof/>
        </w:rPr>
        <w:t>)</w:t>
      </w:r>
      <w:r w:rsidR="00007075" w:rsidRPr="000E70A4">
        <w:rPr>
          <w:noProof/>
        </w:rPr>
        <w:t xml:space="preserve"> та пан-європейська EFAMA</w:t>
      </w:r>
      <w:r w:rsidR="00B438AA" w:rsidRPr="000E70A4">
        <w:rPr>
          <w:noProof/>
        </w:rPr>
        <w:t xml:space="preserve">, що базується у </w:t>
      </w:r>
      <w:r w:rsidR="00C64E37" w:rsidRPr="000E70A4">
        <w:rPr>
          <w:noProof/>
        </w:rPr>
        <w:t>Брюссел</w:t>
      </w:r>
      <w:r w:rsidR="00B438AA" w:rsidRPr="000E70A4">
        <w:rPr>
          <w:noProof/>
        </w:rPr>
        <w:t>і</w:t>
      </w:r>
      <w:r w:rsidR="00007075" w:rsidRPr="000E70A4">
        <w:rPr>
          <w:noProof/>
        </w:rPr>
        <w:t xml:space="preserve">. </w:t>
      </w:r>
    </w:p>
    <w:p w:rsidR="00DD3273" w:rsidRPr="000E70A4" w:rsidRDefault="00AF6A75" w:rsidP="00AF6A75">
      <w:pPr>
        <w:ind w:firstLine="567"/>
        <w:jc w:val="both"/>
        <w:rPr>
          <w:noProof/>
        </w:rPr>
      </w:pPr>
      <w:r w:rsidRPr="000E70A4">
        <w:rPr>
          <w:noProof/>
        </w:rPr>
        <w:t xml:space="preserve">Відкриваючи </w:t>
      </w:r>
      <w:r w:rsidR="00676D70" w:rsidRPr="000E70A4">
        <w:rPr>
          <w:noProof/>
        </w:rPr>
        <w:t>з</w:t>
      </w:r>
      <w:r w:rsidRPr="000E70A4">
        <w:rPr>
          <w:noProof/>
        </w:rPr>
        <w:t>ібрання</w:t>
      </w:r>
      <w:r w:rsidR="006A0CF4" w:rsidRPr="000E70A4">
        <w:rPr>
          <w:noProof/>
        </w:rPr>
        <w:t>,</w:t>
      </w:r>
      <w:r w:rsidR="00676D70" w:rsidRPr="000E70A4">
        <w:rPr>
          <w:noProof/>
        </w:rPr>
        <w:t xml:space="preserve"> Генеральний директор </w:t>
      </w:r>
      <w:r w:rsidR="00D07714" w:rsidRPr="000E70A4">
        <w:rPr>
          <w:noProof/>
        </w:rPr>
        <w:t xml:space="preserve">EFAMA </w:t>
      </w:r>
      <w:r w:rsidR="005C75C7" w:rsidRPr="000E70A4">
        <w:rPr>
          <w:noProof/>
        </w:rPr>
        <w:t xml:space="preserve">Пітер де Профт </w:t>
      </w:r>
      <w:r w:rsidRPr="000E70A4">
        <w:rPr>
          <w:noProof/>
        </w:rPr>
        <w:t xml:space="preserve">наголосив на </w:t>
      </w:r>
      <w:r w:rsidR="00DD3273" w:rsidRPr="000E70A4">
        <w:rPr>
          <w:noProof/>
        </w:rPr>
        <w:t>стрімк</w:t>
      </w:r>
      <w:r w:rsidRPr="000E70A4">
        <w:rPr>
          <w:noProof/>
        </w:rPr>
        <w:t>ому</w:t>
      </w:r>
      <w:r w:rsidR="00DD3273" w:rsidRPr="000E70A4">
        <w:rPr>
          <w:noProof/>
        </w:rPr>
        <w:t xml:space="preserve"> зростанн</w:t>
      </w:r>
      <w:r w:rsidRPr="000E70A4">
        <w:rPr>
          <w:noProof/>
        </w:rPr>
        <w:t>і</w:t>
      </w:r>
      <w:r w:rsidR="00DD3273" w:rsidRPr="000E70A4">
        <w:rPr>
          <w:noProof/>
        </w:rPr>
        <w:t xml:space="preserve"> р</w:t>
      </w:r>
      <w:r w:rsidR="00E71736" w:rsidRPr="000E70A4">
        <w:rPr>
          <w:noProof/>
        </w:rPr>
        <w:t>ол</w:t>
      </w:r>
      <w:r w:rsidRPr="000E70A4">
        <w:rPr>
          <w:noProof/>
        </w:rPr>
        <w:t>і</w:t>
      </w:r>
      <w:r w:rsidR="00E71736" w:rsidRPr="000E70A4">
        <w:rPr>
          <w:noProof/>
        </w:rPr>
        <w:t xml:space="preserve"> індустрії фондів та управління активами </w:t>
      </w:r>
      <w:r w:rsidR="00DD3273" w:rsidRPr="000E70A4">
        <w:rPr>
          <w:noProof/>
        </w:rPr>
        <w:t>в ЄС за останнє десятиріччя</w:t>
      </w:r>
      <w:r w:rsidRPr="000E70A4">
        <w:rPr>
          <w:noProof/>
        </w:rPr>
        <w:t xml:space="preserve">, </w:t>
      </w:r>
      <w:r w:rsidR="00672FA2" w:rsidRPr="000E70A4">
        <w:rPr>
          <w:noProof/>
        </w:rPr>
        <w:t xml:space="preserve">впродовж якого 2017 рік був </w:t>
      </w:r>
      <w:r w:rsidR="00DD3273" w:rsidRPr="000E70A4">
        <w:rPr>
          <w:noProof/>
        </w:rPr>
        <w:t>особливо успішн</w:t>
      </w:r>
      <w:r w:rsidR="00672FA2" w:rsidRPr="000E70A4">
        <w:rPr>
          <w:noProof/>
        </w:rPr>
        <w:t>им</w:t>
      </w:r>
      <w:r w:rsidR="00DD3273" w:rsidRPr="000E70A4">
        <w:rPr>
          <w:noProof/>
        </w:rPr>
        <w:t xml:space="preserve">. </w:t>
      </w:r>
      <w:r w:rsidR="006A0CF4" w:rsidRPr="000E70A4">
        <w:rPr>
          <w:noProof/>
        </w:rPr>
        <w:t>В</w:t>
      </w:r>
      <w:r w:rsidR="00672FA2" w:rsidRPr="000E70A4">
        <w:rPr>
          <w:noProof/>
        </w:rPr>
        <w:t xml:space="preserve">ін </w:t>
      </w:r>
      <w:r w:rsidR="00DD3273" w:rsidRPr="000E70A4">
        <w:rPr>
          <w:noProof/>
        </w:rPr>
        <w:t xml:space="preserve">закликав </w:t>
      </w:r>
      <w:r w:rsidR="00672FA2" w:rsidRPr="000E70A4">
        <w:rPr>
          <w:noProof/>
        </w:rPr>
        <w:t xml:space="preserve">національні </w:t>
      </w:r>
      <w:r w:rsidR="00DD3273" w:rsidRPr="000E70A4">
        <w:rPr>
          <w:noProof/>
        </w:rPr>
        <w:t xml:space="preserve">асоціації </w:t>
      </w:r>
      <w:r w:rsidR="00672FA2" w:rsidRPr="000E70A4">
        <w:rPr>
          <w:noProof/>
        </w:rPr>
        <w:t xml:space="preserve">інвестиційних фондів та КУА цих країн </w:t>
      </w:r>
      <w:r w:rsidR="00DD3273" w:rsidRPr="000E70A4">
        <w:rPr>
          <w:noProof/>
        </w:rPr>
        <w:t>до активн</w:t>
      </w:r>
      <w:r w:rsidR="00EC3AC6" w:rsidRPr="000E70A4">
        <w:rPr>
          <w:noProof/>
        </w:rPr>
        <w:t>іш</w:t>
      </w:r>
      <w:r w:rsidR="00DD3273" w:rsidRPr="000E70A4">
        <w:rPr>
          <w:noProof/>
        </w:rPr>
        <w:t>ої</w:t>
      </w:r>
      <w:r w:rsidR="00EC3AC6" w:rsidRPr="000E70A4">
        <w:rPr>
          <w:noProof/>
        </w:rPr>
        <w:t xml:space="preserve"> </w:t>
      </w:r>
      <w:r w:rsidR="00DD3273" w:rsidRPr="000E70A4">
        <w:rPr>
          <w:noProof/>
        </w:rPr>
        <w:t>участі у роботі органів EFAMA для посилення їх</w:t>
      </w:r>
      <w:r w:rsidR="00672FA2" w:rsidRPr="000E70A4">
        <w:rPr>
          <w:noProof/>
        </w:rPr>
        <w:t>нього</w:t>
      </w:r>
      <w:r w:rsidR="00DD3273" w:rsidRPr="000E70A4">
        <w:rPr>
          <w:noProof/>
        </w:rPr>
        <w:t xml:space="preserve"> голосу і впливу на прийняття рішень.</w:t>
      </w:r>
      <w:r w:rsidR="00D0065B" w:rsidRPr="000E70A4">
        <w:rPr>
          <w:rStyle w:val="a6"/>
          <w:noProof/>
        </w:rPr>
        <w:footnoteReference w:id="1"/>
      </w:r>
      <w:r w:rsidR="00801713" w:rsidRPr="000E70A4">
        <w:rPr>
          <w:noProof/>
        </w:rPr>
        <w:t xml:space="preserve"> </w:t>
      </w:r>
    </w:p>
    <w:p w:rsidR="004320D1" w:rsidRPr="000E70A4" w:rsidRDefault="00DD3273" w:rsidP="00AF6A75">
      <w:pPr>
        <w:ind w:firstLine="567"/>
        <w:jc w:val="both"/>
        <w:rPr>
          <w:noProof/>
        </w:rPr>
      </w:pPr>
      <w:r w:rsidRPr="000E70A4">
        <w:rPr>
          <w:noProof/>
        </w:rPr>
        <w:t xml:space="preserve">Член Ради EFAMA від Австрії Армін Каммел </w:t>
      </w:r>
      <w:r w:rsidR="0034473A" w:rsidRPr="000E70A4">
        <w:rPr>
          <w:noProof/>
        </w:rPr>
        <w:t xml:space="preserve">представив </w:t>
      </w:r>
      <w:r w:rsidR="00EC3AC6" w:rsidRPr="000E70A4">
        <w:rPr>
          <w:noProof/>
        </w:rPr>
        <w:t>н</w:t>
      </w:r>
      <w:r w:rsidR="00A94EFB" w:rsidRPr="000E70A4">
        <w:rPr>
          <w:noProof/>
        </w:rPr>
        <w:t>ов</w:t>
      </w:r>
      <w:r w:rsidR="00EC3AC6" w:rsidRPr="000E70A4">
        <w:rPr>
          <w:noProof/>
        </w:rPr>
        <w:t>у</w:t>
      </w:r>
      <w:r w:rsidR="00A94EFB" w:rsidRPr="000E70A4">
        <w:rPr>
          <w:noProof/>
        </w:rPr>
        <w:t xml:space="preserve"> організаційн</w:t>
      </w:r>
      <w:r w:rsidR="00EC3AC6" w:rsidRPr="000E70A4">
        <w:rPr>
          <w:noProof/>
        </w:rPr>
        <w:t>у</w:t>
      </w:r>
      <w:r w:rsidR="00A94EFB" w:rsidRPr="000E70A4">
        <w:rPr>
          <w:noProof/>
        </w:rPr>
        <w:t xml:space="preserve"> структур</w:t>
      </w:r>
      <w:r w:rsidR="00FC1A2F" w:rsidRPr="000E70A4">
        <w:rPr>
          <w:noProof/>
        </w:rPr>
        <w:t>у</w:t>
      </w:r>
      <w:r w:rsidR="00A94EFB" w:rsidRPr="000E70A4">
        <w:rPr>
          <w:noProof/>
        </w:rPr>
        <w:t xml:space="preserve"> EFAMA</w:t>
      </w:r>
      <w:r w:rsidR="00FC1A2F" w:rsidRPr="000E70A4">
        <w:rPr>
          <w:noProof/>
        </w:rPr>
        <w:t xml:space="preserve">, що включатиме </w:t>
      </w:r>
      <w:r w:rsidR="00A94EFB" w:rsidRPr="000E70A4">
        <w:rPr>
          <w:noProof/>
        </w:rPr>
        <w:t>9 Постійних Комітетів</w:t>
      </w:r>
      <w:r w:rsidR="002454C0" w:rsidRPr="000E70A4">
        <w:rPr>
          <w:noProof/>
        </w:rPr>
        <w:t xml:space="preserve"> та 3 платформи</w:t>
      </w:r>
      <w:r w:rsidR="009936B9" w:rsidRPr="000E70A4">
        <w:rPr>
          <w:noProof/>
        </w:rPr>
        <w:t>:</w:t>
      </w:r>
      <w:r w:rsidR="00FC1A2F" w:rsidRPr="000E70A4">
        <w:rPr>
          <w:noProof/>
        </w:rPr>
        <w:t xml:space="preserve"> </w:t>
      </w:r>
      <w:r w:rsidR="002454C0" w:rsidRPr="000E70A4">
        <w:rPr>
          <w:noProof/>
        </w:rPr>
        <w:t>Платформа публічної політики, Платформа освіти для інвесторів</w:t>
      </w:r>
      <w:r w:rsidR="00FC1A2F" w:rsidRPr="000E70A4">
        <w:rPr>
          <w:noProof/>
        </w:rPr>
        <w:t>,</w:t>
      </w:r>
      <w:r w:rsidR="002454C0" w:rsidRPr="000E70A4">
        <w:rPr>
          <w:noProof/>
        </w:rPr>
        <w:t xml:space="preserve"> </w:t>
      </w:r>
      <w:r w:rsidR="00FC1A2F" w:rsidRPr="000E70A4">
        <w:rPr>
          <w:noProof/>
        </w:rPr>
        <w:t>Оперативна група</w:t>
      </w:r>
      <w:r w:rsidR="00840C00" w:rsidRPr="000E70A4">
        <w:rPr>
          <w:noProof/>
        </w:rPr>
        <w:t xml:space="preserve"> з Брекзіту</w:t>
      </w:r>
      <w:r w:rsidR="002454C0" w:rsidRPr="000E70A4">
        <w:rPr>
          <w:noProof/>
        </w:rPr>
        <w:t>. Остання</w:t>
      </w:r>
      <w:r w:rsidR="001E1AF1" w:rsidRPr="000E70A4">
        <w:rPr>
          <w:noProof/>
        </w:rPr>
        <w:t xml:space="preserve"> покликана</w:t>
      </w:r>
      <w:r w:rsidR="009936B9" w:rsidRPr="000E70A4">
        <w:rPr>
          <w:noProof/>
          <w:lang w:val="ru-RU"/>
        </w:rPr>
        <w:t xml:space="preserve"> </w:t>
      </w:r>
      <w:r w:rsidR="001E1AF1" w:rsidRPr="000E70A4">
        <w:rPr>
          <w:noProof/>
        </w:rPr>
        <w:t>вирішити проблему</w:t>
      </w:r>
      <w:r w:rsidR="00A94EFB" w:rsidRPr="000E70A4">
        <w:rPr>
          <w:noProof/>
        </w:rPr>
        <w:t xml:space="preserve"> </w:t>
      </w:r>
      <w:r w:rsidR="001E1AF1" w:rsidRPr="000E70A4">
        <w:rPr>
          <w:noProof/>
        </w:rPr>
        <w:t>інфраструктури</w:t>
      </w:r>
      <w:r w:rsidR="009D613D" w:rsidRPr="000E70A4">
        <w:rPr>
          <w:noProof/>
        </w:rPr>
        <w:t xml:space="preserve"> фондового ринку</w:t>
      </w:r>
      <w:r w:rsidR="001E1AF1" w:rsidRPr="000E70A4">
        <w:rPr>
          <w:noProof/>
        </w:rPr>
        <w:t xml:space="preserve">, </w:t>
      </w:r>
      <w:r w:rsidR="009D613D" w:rsidRPr="000E70A4">
        <w:rPr>
          <w:noProof/>
        </w:rPr>
        <w:t xml:space="preserve">що постає через Брекзіт, </w:t>
      </w:r>
      <w:r w:rsidR="001E1AF1" w:rsidRPr="000E70A4">
        <w:rPr>
          <w:noProof/>
        </w:rPr>
        <w:t xml:space="preserve">адже </w:t>
      </w:r>
      <w:r w:rsidR="00094FF5" w:rsidRPr="000E70A4">
        <w:rPr>
          <w:noProof/>
        </w:rPr>
        <w:t xml:space="preserve">близько </w:t>
      </w:r>
      <w:r w:rsidR="001E1AF1" w:rsidRPr="000E70A4">
        <w:rPr>
          <w:noProof/>
        </w:rPr>
        <w:t>75% клірингу відбувається в установах, зареєстрованих у Великобританії</w:t>
      </w:r>
      <w:r w:rsidR="009D613D" w:rsidRPr="000E70A4">
        <w:rPr>
          <w:noProof/>
        </w:rPr>
        <w:t>.</w:t>
      </w:r>
    </w:p>
    <w:p w:rsidR="00E07CF2" w:rsidRPr="000E70A4" w:rsidRDefault="00E07CF2" w:rsidP="00AF6A75">
      <w:pPr>
        <w:ind w:firstLine="567"/>
        <w:jc w:val="both"/>
        <w:rPr>
          <w:noProof/>
        </w:rPr>
      </w:pPr>
      <w:r w:rsidRPr="000E70A4">
        <w:rPr>
          <w:noProof/>
        </w:rPr>
        <w:t xml:space="preserve">Представники </w:t>
      </w:r>
      <w:r w:rsidR="008C2E5A" w:rsidRPr="000E70A4">
        <w:rPr>
          <w:noProof/>
        </w:rPr>
        <w:t>національних</w:t>
      </w:r>
      <w:r w:rsidRPr="000E70A4">
        <w:rPr>
          <w:noProof/>
        </w:rPr>
        <w:t xml:space="preserve"> </w:t>
      </w:r>
      <w:r w:rsidR="000A21C1" w:rsidRPr="000E70A4">
        <w:rPr>
          <w:noProof/>
        </w:rPr>
        <w:t>асоціацій</w:t>
      </w:r>
      <w:r w:rsidRPr="000E70A4">
        <w:rPr>
          <w:noProof/>
        </w:rPr>
        <w:t xml:space="preserve"> </w:t>
      </w:r>
      <w:r w:rsidR="00153436" w:rsidRPr="000E70A4">
        <w:rPr>
          <w:noProof/>
        </w:rPr>
        <w:t>розповідали</w:t>
      </w:r>
      <w:r w:rsidR="00A05A29" w:rsidRPr="000E70A4">
        <w:rPr>
          <w:noProof/>
        </w:rPr>
        <w:t xml:space="preserve"> про </w:t>
      </w:r>
      <w:r w:rsidR="000A21C1" w:rsidRPr="000E70A4">
        <w:rPr>
          <w:noProof/>
        </w:rPr>
        <w:t xml:space="preserve">макроекономічну </w:t>
      </w:r>
      <w:r w:rsidR="008C2E5A" w:rsidRPr="000E70A4">
        <w:rPr>
          <w:noProof/>
        </w:rPr>
        <w:t>ситуацію у</w:t>
      </w:r>
      <w:r w:rsidR="000A21C1" w:rsidRPr="000E70A4">
        <w:rPr>
          <w:noProof/>
        </w:rPr>
        <w:t xml:space="preserve"> своїх країнах</w:t>
      </w:r>
      <w:r w:rsidR="00B53044" w:rsidRPr="000E70A4">
        <w:rPr>
          <w:noProof/>
        </w:rPr>
        <w:t xml:space="preserve">, </w:t>
      </w:r>
      <w:r w:rsidR="006A0CF4" w:rsidRPr="000E70A4">
        <w:rPr>
          <w:noProof/>
        </w:rPr>
        <w:t xml:space="preserve">про </w:t>
      </w:r>
      <w:r w:rsidR="008C2E5A" w:rsidRPr="000E70A4">
        <w:rPr>
          <w:noProof/>
        </w:rPr>
        <w:t xml:space="preserve">результати діяльності вітчизняних </w:t>
      </w:r>
      <w:r w:rsidR="00B53044" w:rsidRPr="000E70A4">
        <w:rPr>
          <w:noProof/>
        </w:rPr>
        <w:t>індустрій фондів</w:t>
      </w:r>
      <w:r w:rsidR="002B1522" w:rsidRPr="000E70A4">
        <w:rPr>
          <w:noProof/>
        </w:rPr>
        <w:t xml:space="preserve"> та</w:t>
      </w:r>
      <w:r w:rsidR="00B53044" w:rsidRPr="000E70A4">
        <w:rPr>
          <w:noProof/>
        </w:rPr>
        <w:t xml:space="preserve"> </w:t>
      </w:r>
      <w:r w:rsidR="002B1522" w:rsidRPr="000E70A4">
        <w:rPr>
          <w:noProof/>
        </w:rPr>
        <w:t>ключов</w:t>
      </w:r>
      <w:r w:rsidR="008C2E5A" w:rsidRPr="000E70A4">
        <w:rPr>
          <w:noProof/>
        </w:rPr>
        <w:t>і</w:t>
      </w:r>
      <w:r w:rsidR="002B1522" w:rsidRPr="000E70A4">
        <w:rPr>
          <w:noProof/>
        </w:rPr>
        <w:t xml:space="preserve"> регуляторн</w:t>
      </w:r>
      <w:r w:rsidR="008C2E5A" w:rsidRPr="000E70A4">
        <w:rPr>
          <w:noProof/>
        </w:rPr>
        <w:t>і</w:t>
      </w:r>
      <w:r w:rsidR="002B1522" w:rsidRPr="000E70A4">
        <w:rPr>
          <w:noProof/>
        </w:rPr>
        <w:t xml:space="preserve"> змін</w:t>
      </w:r>
      <w:r w:rsidR="008C2E5A" w:rsidRPr="000E70A4">
        <w:rPr>
          <w:noProof/>
        </w:rPr>
        <w:t xml:space="preserve">и, що відбулися після </w:t>
      </w:r>
      <w:r w:rsidR="002B1522" w:rsidRPr="000E70A4">
        <w:rPr>
          <w:noProof/>
        </w:rPr>
        <w:t xml:space="preserve">минулої зустрічі у Братиславі у 2017 році, а також </w:t>
      </w:r>
      <w:r w:rsidR="008C2E5A" w:rsidRPr="000E70A4">
        <w:rPr>
          <w:noProof/>
        </w:rPr>
        <w:t>поділи</w:t>
      </w:r>
      <w:r w:rsidR="006A0CF4" w:rsidRPr="000E70A4">
        <w:rPr>
          <w:noProof/>
        </w:rPr>
        <w:t>ли</w:t>
      </w:r>
      <w:r w:rsidR="008C2E5A" w:rsidRPr="000E70A4">
        <w:rPr>
          <w:noProof/>
        </w:rPr>
        <w:t xml:space="preserve">ся </w:t>
      </w:r>
      <w:r w:rsidR="002B1522" w:rsidRPr="000E70A4">
        <w:rPr>
          <w:noProof/>
        </w:rPr>
        <w:t>проблемни</w:t>
      </w:r>
      <w:r w:rsidR="008C2E5A" w:rsidRPr="000E70A4">
        <w:rPr>
          <w:noProof/>
        </w:rPr>
        <w:t>ми</w:t>
      </w:r>
      <w:r w:rsidR="002B1522" w:rsidRPr="000E70A4">
        <w:rPr>
          <w:noProof/>
        </w:rPr>
        <w:t xml:space="preserve"> питан</w:t>
      </w:r>
      <w:r w:rsidR="008C2E5A" w:rsidRPr="000E70A4">
        <w:rPr>
          <w:noProof/>
        </w:rPr>
        <w:t>нями</w:t>
      </w:r>
      <w:r w:rsidR="002B1522" w:rsidRPr="000E70A4">
        <w:rPr>
          <w:noProof/>
        </w:rPr>
        <w:t xml:space="preserve"> у діяльності КУА та фондів у своїх країнах. </w:t>
      </w:r>
    </w:p>
    <w:p w:rsidR="008843BE" w:rsidRPr="000E70A4" w:rsidRDefault="008C2E5A" w:rsidP="00AF6A75">
      <w:pPr>
        <w:ind w:firstLine="567"/>
        <w:jc w:val="both"/>
        <w:rPr>
          <w:noProof/>
        </w:rPr>
      </w:pPr>
      <w:r w:rsidRPr="000E70A4">
        <w:rPr>
          <w:noProof/>
        </w:rPr>
        <w:t xml:space="preserve">Обговорючи </w:t>
      </w:r>
      <w:r w:rsidR="00766C29" w:rsidRPr="000E70A4">
        <w:rPr>
          <w:b/>
          <w:noProof/>
        </w:rPr>
        <w:t>імплементаці</w:t>
      </w:r>
      <w:r w:rsidRPr="000E70A4">
        <w:rPr>
          <w:b/>
          <w:noProof/>
        </w:rPr>
        <w:t>ю</w:t>
      </w:r>
      <w:r w:rsidR="00766C29" w:rsidRPr="000E70A4">
        <w:rPr>
          <w:b/>
          <w:noProof/>
        </w:rPr>
        <w:t xml:space="preserve"> нових вимог Директиви про ринки фінансових інструментів MiFID II</w:t>
      </w:r>
      <w:r w:rsidR="009366F1" w:rsidRPr="000E70A4">
        <w:rPr>
          <w:b/>
          <w:noProof/>
        </w:rPr>
        <w:t xml:space="preserve"> та Регламенту MiFIR</w:t>
      </w:r>
      <w:r w:rsidR="00766C29" w:rsidRPr="000E70A4">
        <w:rPr>
          <w:noProof/>
        </w:rPr>
        <w:t xml:space="preserve">, що набрали чинності з січня 2018 року, зокрема, </w:t>
      </w:r>
      <w:r w:rsidRPr="000E70A4">
        <w:rPr>
          <w:noProof/>
        </w:rPr>
        <w:t xml:space="preserve">йшлося про </w:t>
      </w:r>
      <w:r w:rsidR="00050986" w:rsidRPr="000E70A4">
        <w:rPr>
          <w:noProof/>
        </w:rPr>
        <w:t xml:space="preserve">критерії для </w:t>
      </w:r>
      <w:r w:rsidR="00F81641" w:rsidRPr="000E70A4">
        <w:rPr>
          <w:noProof/>
        </w:rPr>
        <w:t>проведення</w:t>
      </w:r>
      <w:r w:rsidR="00050986" w:rsidRPr="000E70A4">
        <w:rPr>
          <w:noProof/>
        </w:rPr>
        <w:t xml:space="preserve"> і оцінки підвищення якості продуктів (quality enhancement)</w:t>
      </w:r>
      <w:r w:rsidR="00D31BD9" w:rsidRPr="000E70A4">
        <w:rPr>
          <w:noProof/>
        </w:rPr>
        <w:t xml:space="preserve">, </w:t>
      </w:r>
      <w:r w:rsidR="00402117" w:rsidRPr="000E70A4">
        <w:rPr>
          <w:noProof/>
        </w:rPr>
        <w:t xml:space="preserve">підтвердження </w:t>
      </w:r>
      <w:r w:rsidR="00D31BD9" w:rsidRPr="000E70A4">
        <w:rPr>
          <w:noProof/>
        </w:rPr>
        <w:t>кваліфікації персоналу (qualification verification)</w:t>
      </w:r>
      <w:r w:rsidR="00A70390" w:rsidRPr="000E70A4">
        <w:rPr>
          <w:noProof/>
        </w:rPr>
        <w:t xml:space="preserve">, </w:t>
      </w:r>
      <w:r w:rsidR="0017726A" w:rsidRPr="000E70A4">
        <w:rPr>
          <w:noProof/>
        </w:rPr>
        <w:t>т</w:t>
      </w:r>
      <w:r w:rsidR="00B20366" w:rsidRPr="000E70A4">
        <w:rPr>
          <w:noProof/>
        </w:rPr>
        <w:t xml:space="preserve">ранскордонне розміщення </w:t>
      </w:r>
      <w:r w:rsidR="007D14FC" w:rsidRPr="000E70A4">
        <w:rPr>
          <w:noProof/>
        </w:rPr>
        <w:t xml:space="preserve">фондів </w:t>
      </w:r>
      <w:r w:rsidR="00B20366" w:rsidRPr="000E70A4">
        <w:rPr>
          <w:noProof/>
        </w:rPr>
        <w:t xml:space="preserve">(продаж </w:t>
      </w:r>
      <w:r w:rsidR="007D14FC" w:rsidRPr="000E70A4">
        <w:rPr>
          <w:noProof/>
        </w:rPr>
        <w:t xml:space="preserve">їх часток – </w:t>
      </w:r>
      <w:r w:rsidR="0017726A" w:rsidRPr="000E70A4">
        <w:rPr>
          <w:noProof/>
        </w:rPr>
        <w:t>cross-border distribution)</w:t>
      </w:r>
      <w:r w:rsidR="00025145" w:rsidRPr="000E70A4">
        <w:rPr>
          <w:noProof/>
        </w:rPr>
        <w:t xml:space="preserve">. </w:t>
      </w:r>
      <w:r w:rsidR="00950DC1" w:rsidRPr="000E70A4">
        <w:rPr>
          <w:noProof/>
        </w:rPr>
        <w:t>При цьому у деяких країнах регіону MiFID II досі не транспонована у національне законодавство</w:t>
      </w:r>
      <w:r w:rsidR="002F27C2" w:rsidRPr="000E70A4">
        <w:rPr>
          <w:noProof/>
        </w:rPr>
        <w:t>,</w:t>
      </w:r>
      <w:r w:rsidR="003E7836" w:rsidRPr="000E70A4">
        <w:rPr>
          <w:noProof/>
        </w:rPr>
        <w:t xml:space="preserve"> </w:t>
      </w:r>
      <w:r w:rsidR="002F27C2" w:rsidRPr="000E70A4">
        <w:rPr>
          <w:noProof/>
        </w:rPr>
        <w:t xml:space="preserve">а </w:t>
      </w:r>
      <w:r w:rsidR="00950DC1" w:rsidRPr="000E70A4">
        <w:rPr>
          <w:noProof/>
        </w:rPr>
        <w:t xml:space="preserve">її подальша імплементація призведе до суттєвої зміни моделі продажу (дистрибуції) фондів. </w:t>
      </w:r>
      <w:r w:rsidR="003E7836" w:rsidRPr="000E70A4">
        <w:rPr>
          <w:noProof/>
        </w:rPr>
        <w:t>В</w:t>
      </w:r>
      <w:r w:rsidR="009366F1" w:rsidRPr="000E70A4">
        <w:rPr>
          <w:noProof/>
        </w:rPr>
        <w:t xml:space="preserve">ідкритим залишається </w:t>
      </w:r>
      <w:r w:rsidR="00890FA0" w:rsidRPr="000E70A4">
        <w:rPr>
          <w:noProof/>
        </w:rPr>
        <w:t xml:space="preserve">також </w:t>
      </w:r>
      <w:r w:rsidR="009366F1" w:rsidRPr="000E70A4">
        <w:rPr>
          <w:noProof/>
        </w:rPr>
        <w:t>питання</w:t>
      </w:r>
      <w:r w:rsidR="00890FA0" w:rsidRPr="000E70A4">
        <w:rPr>
          <w:noProof/>
        </w:rPr>
        <w:t xml:space="preserve"> щодо </w:t>
      </w:r>
      <w:r w:rsidR="002F27C2" w:rsidRPr="000E70A4">
        <w:rPr>
          <w:noProof/>
        </w:rPr>
        <w:t>розповсюдження</w:t>
      </w:r>
      <w:r w:rsidR="00890FA0" w:rsidRPr="000E70A4">
        <w:rPr>
          <w:noProof/>
        </w:rPr>
        <w:t xml:space="preserve"> на </w:t>
      </w:r>
      <w:r w:rsidR="00DD7787" w:rsidRPr="000E70A4">
        <w:rPr>
          <w:noProof/>
        </w:rPr>
        <w:t xml:space="preserve">діяльність </w:t>
      </w:r>
      <w:r w:rsidR="009366F1" w:rsidRPr="000E70A4">
        <w:rPr>
          <w:noProof/>
        </w:rPr>
        <w:t>управляюч</w:t>
      </w:r>
      <w:r w:rsidR="00DD7787" w:rsidRPr="000E70A4">
        <w:rPr>
          <w:noProof/>
        </w:rPr>
        <w:t xml:space="preserve">их </w:t>
      </w:r>
      <w:r w:rsidR="009366F1" w:rsidRPr="000E70A4">
        <w:rPr>
          <w:noProof/>
        </w:rPr>
        <w:t>компані</w:t>
      </w:r>
      <w:r w:rsidR="00DD7787" w:rsidRPr="000E70A4">
        <w:rPr>
          <w:noProof/>
        </w:rPr>
        <w:t>й</w:t>
      </w:r>
      <w:r w:rsidR="009936B9" w:rsidRPr="000E70A4">
        <w:rPr>
          <w:noProof/>
        </w:rPr>
        <w:t xml:space="preserve"> </w:t>
      </w:r>
      <w:r w:rsidR="008843BE" w:rsidRPr="000E70A4">
        <w:rPr>
          <w:noProof/>
        </w:rPr>
        <w:t xml:space="preserve">MiFIR. </w:t>
      </w:r>
      <w:r w:rsidR="009366F1" w:rsidRPr="000E70A4">
        <w:rPr>
          <w:noProof/>
        </w:rPr>
        <w:t>«</w:t>
      </w:r>
      <w:r w:rsidR="008843BE" w:rsidRPr="000E70A4">
        <w:rPr>
          <w:noProof/>
        </w:rPr>
        <w:t>Ш</w:t>
      </w:r>
      <w:r w:rsidR="009366F1" w:rsidRPr="000E70A4">
        <w:rPr>
          <w:noProof/>
        </w:rPr>
        <w:t xml:space="preserve">ироке» трактування </w:t>
      </w:r>
      <w:r w:rsidR="008843BE" w:rsidRPr="000E70A4">
        <w:rPr>
          <w:noProof/>
        </w:rPr>
        <w:t>сфери дії цих Регламенту та Директиви, що охоплює</w:t>
      </w:r>
      <w:r w:rsidR="009366F1" w:rsidRPr="000E70A4">
        <w:rPr>
          <w:noProof/>
        </w:rPr>
        <w:t xml:space="preserve"> компані</w:t>
      </w:r>
      <w:r w:rsidR="008843BE" w:rsidRPr="000E70A4">
        <w:rPr>
          <w:noProof/>
        </w:rPr>
        <w:t>ї</w:t>
      </w:r>
      <w:r w:rsidR="009366F1" w:rsidRPr="000E70A4">
        <w:rPr>
          <w:noProof/>
        </w:rPr>
        <w:t>, які надають послуги з управління індивідуальними портфелями (di</w:t>
      </w:r>
      <w:r w:rsidR="009366F1" w:rsidRPr="000E70A4">
        <w:rPr>
          <w:noProof/>
          <w:lang w:val="en-US"/>
        </w:rPr>
        <w:t>scretionary</w:t>
      </w:r>
      <w:r w:rsidR="009366F1" w:rsidRPr="000E70A4">
        <w:rPr>
          <w:noProof/>
        </w:rPr>
        <w:t xml:space="preserve"> </w:t>
      </w:r>
      <w:r w:rsidR="009366F1" w:rsidRPr="000E70A4">
        <w:rPr>
          <w:noProof/>
          <w:lang w:val="en-US"/>
        </w:rPr>
        <w:t>mandates</w:t>
      </w:r>
      <w:r w:rsidR="009366F1" w:rsidRPr="000E70A4">
        <w:rPr>
          <w:noProof/>
        </w:rPr>
        <w:t>)</w:t>
      </w:r>
      <w:r w:rsidR="008843BE" w:rsidRPr="000E70A4">
        <w:rPr>
          <w:noProof/>
        </w:rPr>
        <w:t>, зокрема</w:t>
      </w:r>
      <w:r w:rsidR="00C3607D" w:rsidRPr="000E70A4">
        <w:rPr>
          <w:noProof/>
        </w:rPr>
        <w:t xml:space="preserve"> </w:t>
      </w:r>
      <w:r w:rsidR="009366F1" w:rsidRPr="000E70A4">
        <w:rPr>
          <w:noProof/>
        </w:rPr>
        <w:t xml:space="preserve">у частині звітування щодо транзакцій та ін., </w:t>
      </w:r>
      <w:r w:rsidR="008843BE" w:rsidRPr="000E70A4">
        <w:rPr>
          <w:noProof/>
        </w:rPr>
        <w:t>значно збільш</w:t>
      </w:r>
      <w:r w:rsidR="009366F1" w:rsidRPr="000E70A4">
        <w:rPr>
          <w:noProof/>
        </w:rPr>
        <w:t xml:space="preserve">ить витрати компаній, адже більшість </w:t>
      </w:r>
      <w:r w:rsidR="008843BE" w:rsidRPr="000E70A4">
        <w:rPr>
          <w:noProof/>
        </w:rPr>
        <w:t xml:space="preserve">із них </w:t>
      </w:r>
      <w:r w:rsidR="009366F1" w:rsidRPr="000E70A4">
        <w:rPr>
          <w:noProof/>
        </w:rPr>
        <w:t>не мають у наявності даних щодо транзакцій</w:t>
      </w:r>
      <w:r w:rsidR="00F23C6B" w:rsidRPr="000E70A4">
        <w:rPr>
          <w:noProof/>
        </w:rPr>
        <w:t>.</w:t>
      </w:r>
      <w:r w:rsidR="006A0CF4" w:rsidRPr="000E70A4">
        <w:rPr>
          <w:noProof/>
        </w:rPr>
        <w:t xml:space="preserve"> </w:t>
      </w:r>
    </w:p>
    <w:p w:rsidR="00C51631" w:rsidRPr="000E70A4" w:rsidRDefault="00C51631" w:rsidP="00AF6A75">
      <w:pPr>
        <w:ind w:firstLine="567"/>
        <w:jc w:val="both"/>
        <w:rPr>
          <w:noProof/>
        </w:rPr>
      </w:pPr>
      <w:r w:rsidRPr="000E70A4">
        <w:rPr>
          <w:noProof/>
        </w:rPr>
        <w:t xml:space="preserve">Іншою важливою зміною в регулюванні ринку в ЄС було </w:t>
      </w:r>
      <w:r w:rsidR="006A0CF4" w:rsidRPr="000E70A4">
        <w:rPr>
          <w:noProof/>
        </w:rPr>
        <w:t xml:space="preserve">також </w:t>
      </w:r>
      <w:r w:rsidRPr="000E70A4">
        <w:rPr>
          <w:noProof/>
        </w:rPr>
        <w:t xml:space="preserve">запровадження із січня 2018 року вимог Регламенту про </w:t>
      </w:r>
      <w:r w:rsidRPr="000E70A4">
        <w:rPr>
          <w:b/>
          <w:noProof/>
        </w:rPr>
        <w:t>Ключову інформацію для інвестора пакетованих інвест- і страхових продуктів для роздрібних інвесторів (PRIIPs KID)</w:t>
      </w:r>
      <w:r w:rsidRPr="000E70A4">
        <w:rPr>
          <w:noProof/>
        </w:rPr>
        <w:t xml:space="preserve">. Після грунтовних дебатів між </w:t>
      </w:r>
      <w:r w:rsidR="00946220" w:rsidRPr="000E70A4">
        <w:rPr>
          <w:noProof/>
        </w:rPr>
        <w:t xml:space="preserve">Єврокомісією та </w:t>
      </w:r>
      <w:r w:rsidRPr="000E70A4">
        <w:rPr>
          <w:noProof/>
        </w:rPr>
        <w:t>регуляторами</w:t>
      </w:r>
      <w:r w:rsidR="00DD7787" w:rsidRPr="000E70A4">
        <w:rPr>
          <w:noProof/>
        </w:rPr>
        <w:t xml:space="preserve">, </w:t>
      </w:r>
      <w:r w:rsidRPr="000E70A4">
        <w:rPr>
          <w:noProof/>
        </w:rPr>
        <w:t xml:space="preserve">учасниками індустрії </w:t>
      </w:r>
      <w:r w:rsidR="00DD7787" w:rsidRPr="000E70A4">
        <w:rPr>
          <w:noProof/>
        </w:rPr>
        <w:t xml:space="preserve">(в тому числі й асоціаціями) </w:t>
      </w:r>
      <w:r w:rsidRPr="000E70A4">
        <w:rPr>
          <w:noProof/>
        </w:rPr>
        <w:t>та федерацією інвесторів ЄС</w:t>
      </w:r>
      <w:r w:rsidR="00946220" w:rsidRPr="000E70A4">
        <w:rPr>
          <w:noProof/>
        </w:rPr>
        <w:t xml:space="preserve">  </w:t>
      </w:r>
      <w:r w:rsidRPr="000E70A4">
        <w:rPr>
          <w:noProof/>
        </w:rPr>
        <w:t>щодо коректності методології розрахунку показників</w:t>
      </w:r>
      <w:r w:rsidR="00DD7787" w:rsidRPr="000E70A4">
        <w:rPr>
          <w:noProof/>
        </w:rPr>
        <w:t xml:space="preserve"> </w:t>
      </w:r>
      <w:r w:rsidRPr="000E70A4">
        <w:rPr>
          <w:noProof/>
        </w:rPr>
        <w:t>для включення у KID</w:t>
      </w:r>
      <w:r w:rsidR="006A0CF4" w:rsidRPr="000E70A4">
        <w:rPr>
          <w:noProof/>
        </w:rPr>
        <w:t xml:space="preserve">, а </w:t>
      </w:r>
      <w:r w:rsidRPr="000E70A4">
        <w:rPr>
          <w:noProof/>
        </w:rPr>
        <w:t>та</w:t>
      </w:r>
      <w:r w:rsidR="006A0CF4" w:rsidRPr="000E70A4">
        <w:rPr>
          <w:noProof/>
        </w:rPr>
        <w:t xml:space="preserve">кож </w:t>
      </w:r>
      <w:r w:rsidRPr="000E70A4">
        <w:rPr>
          <w:noProof/>
        </w:rPr>
        <w:t>кори</w:t>
      </w:r>
      <w:r w:rsidR="00946220" w:rsidRPr="000E70A4">
        <w:rPr>
          <w:noProof/>
        </w:rPr>
        <w:t>сності цієї інформації для інвесторів, в</w:t>
      </w:r>
      <w:r w:rsidRPr="000E70A4">
        <w:rPr>
          <w:noProof/>
        </w:rPr>
        <w:t xml:space="preserve"> окремих країнах регулятори вже визнали, що PRIIPs KID є </w:t>
      </w:r>
      <w:r w:rsidR="00254820" w:rsidRPr="000E70A4">
        <w:rPr>
          <w:noProof/>
        </w:rPr>
        <w:t>не</w:t>
      </w:r>
      <w:r w:rsidR="00DD7787" w:rsidRPr="000E70A4">
        <w:rPr>
          <w:noProof/>
        </w:rPr>
        <w:t>ефективн</w:t>
      </w:r>
      <w:r w:rsidR="00362CC0">
        <w:rPr>
          <w:noProof/>
        </w:rPr>
        <w:t>ою</w:t>
      </w:r>
      <w:bookmarkStart w:id="0" w:name="_GoBack"/>
      <w:bookmarkEnd w:id="0"/>
      <w:r w:rsidR="00DD7787" w:rsidRPr="000E70A4">
        <w:rPr>
          <w:noProof/>
        </w:rPr>
        <w:t xml:space="preserve">. </w:t>
      </w:r>
      <w:r w:rsidR="006A0CF4" w:rsidRPr="000E70A4">
        <w:rPr>
          <w:noProof/>
        </w:rPr>
        <w:t xml:space="preserve">Поки це </w:t>
      </w:r>
      <w:r w:rsidR="00E21F9C" w:rsidRPr="000E70A4">
        <w:rPr>
          <w:noProof/>
        </w:rPr>
        <w:t xml:space="preserve">питання </w:t>
      </w:r>
      <w:r w:rsidR="006A0CF4" w:rsidRPr="000E70A4">
        <w:rPr>
          <w:noProof/>
        </w:rPr>
        <w:t xml:space="preserve">не буде </w:t>
      </w:r>
      <w:r w:rsidR="002F4EA5" w:rsidRPr="000E70A4">
        <w:rPr>
          <w:noProof/>
        </w:rPr>
        <w:t xml:space="preserve">узгоджене </w:t>
      </w:r>
      <w:r w:rsidR="00E21F9C" w:rsidRPr="000E70A4">
        <w:rPr>
          <w:noProof/>
        </w:rPr>
        <w:t>на загальноєвропейському законодавчому рівні</w:t>
      </w:r>
      <w:r w:rsidR="002F4EA5" w:rsidRPr="000E70A4">
        <w:rPr>
          <w:noProof/>
        </w:rPr>
        <w:t>,</w:t>
      </w:r>
      <w:r w:rsidR="006D672C" w:rsidRPr="000E70A4">
        <w:rPr>
          <w:noProof/>
        </w:rPr>
        <w:t xml:space="preserve"> </w:t>
      </w:r>
      <w:r w:rsidR="00254820" w:rsidRPr="000E70A4">
        <w:rPr>
          <w:noProof/>
        </w:rPr>
        <w:t xml:space="preserve">вони </w:t>
      </w:r>
      <w:r w:rsidR="002F4EA5" w:rsidRPr="000E70A4">
        <w:rPr>
          <w:noProof/>
        </w:rPr>
        <w:t>виріш</w:t>
      </w:r>
      <w:r w:rsidR="00254820" w:rsidRPr="000E70A4">
        <w:rPr>
          <w:noProof/>
        </w:rPr>
        <w:t>или</w:t>
      </w:r>
      <w:r w:rsidR="002F4EA5" w:rsidRPr="000E70A4">
        <w:rPr>
          <w:noProof/>
        </w:rPr>
        <w:t xml:space="preserve"> </w:t>
      </w:r>
      <w:r w:rsidR="006D672C" w:rsidRPr="000E70A4">
        <w:rPr>
          <w:noProof/>
        </w:rPr>
        <w:t>збільши</w:t>
      </w:r>
      <w:r w:rsidR="00254820" w:rsidRPr="000E70A4">
        <w:rPr>
          <w:noProof/>
        </w:rPr>
        <w:t>т</w:t>
      </w:r>
      <w:r w:rsidR="006D672C" w:rsidRPr="000E70A4">
        <w:rPr>
          <w:noProof/>
        </w:rPr>
        <w:t xml:space="preserve">и </w:t>
      </w:r>
      <w:r w:rsidRPr="000E70A4">
        <w:rPr>
          <w:noProof/>
        </w:rPr>
        <w:t>перехідний період</w:t>
      </w:r>
      <w:r w:rsidR="00E21F9C" w:rsidRPr="000E70A4">
        <w:rPr>
          <w:noProof/>
        </w:rPr>
        <w:t xml:space="preserve"> для фондів UCITS</w:t>
      </w:r>
      <w:r w:rsidRPr="000E70A4">
        <w:rPr>
          <w:noProof/>
        </w:rPr>
        <w:t xml:space="preserve"> (п</w:t>
      </w:r>
      <w:r w:rsidR="006D672C" w:rsidRPr="000E70A4">
        <w:rPr>
          <w:noProof/>
        </w:rPr>
        <w:t>ісля</w:t>
      </w:r>
      <w:r w:rsidRPr="000E70A4">
        <w:rPr>
          <w:noProof/>
        </w:rPr>
        <w:t xml:space="preserve"> 2019 рок</w:t>
      </w:r>
      <w:r w:rsidR="006D672C" w:rsidRPr="000E70A4">
        <w:rPr>
          <w:noProof/>
        </w:rPr>
        <w:t>у</w:t>
      </w:r>
      <w:r w:rsidRPr="000E70A4">
        <w:rPr>
          <w:noProof/>
        </w:rPr>
        <w:t>, коли вимоги Регламенту про PRIIPs KID мали почати поширюватися на фонди UCITS)</w:t>
      </w:r>
      <w:r w:rsidR="00254820" w:rsidRPr="000E70A4">
        <w:rPr>
          <w:noProof/>
        </w:rPr>
        <w:t>.</w:t>
      </w:r>
    </w:p>
    <w:p w:rsidR="00F23C6B" w:rsidRPr="000E70A4" w:rsidRDefault="006D672C" w:rsidP="00AF6A75">
      <w:pPr>
        <w:ind w:firstLine="567"/>
        <w:jc w:val="both"/>
        <w:rPr>
          <w:noProof/>
        </w:rPr>
      </w:pPr>
      <w:r w:rsidRPr="000E70A4">
        <w:rPr>
          <w:noProof/>
        </w:rPr>
        <w:t>Н</w:t>
      </w:r>
      <w:r w:rsidR="00F23C6B" w:rsidRPr="000E70A4">
        <w:rPr>
          <w:noProof/>
        </w:rPr>
        <w:t xml:space="preserve">изка асоціацій </w:t>
      </w:r>
      <w:r w:rsidR="00CC7B7B" w:rsidRPr="000E70A4">
        <w:rPr>
          <w:noProof/>
        </w:rPr>
        <w:t xml:space="preserve">також </w:t>
      </w:r>
      <w:r w:rsidR="00F23C6B" w:rsidRPr="000E70A4">
        <w:rPr>
          <w:noProof/>
        </w:rPr>
        <w:t xml:space="preserve">наполягає, що </w:t>
      </w:r>
      <w:r w:rsidR="00F23C6B" w:rsidRPr="000E70A4">
        <w:rPr>
          <w:b/>
          <w:noProof/>
        </w:rPr>
        <w:t>фонди альтернативних інвестицій – AIF</w:t>
      </w:r>
      <w:r w:rsidR="00F23C6B" w:rsidRPr="000E70A4">
        <w:rPr>
          <w:noProof/>
        </w:rPr>
        <w:t xml:space="preserve">, </w:t>
      </w:r>
      <w:r w:rsidR="00CC7B7B" w:rsidRPr="000E70A4">
        <w:rPr>
          <w:noProof/>
        </w:rPr>
        <w:t>які</w:t>
      </w:r>
      <w:r w:rsidR="00F23C6B" w:rsidRPr="000E70A4">
        <w:rPr>
          <w:noProof/>
        </w:rPr>
        <w:t xml:space="preserve"> пропонуються роздрібним інвесторам (багато з таких фондів є дуже близькими за своїми параметрами до UCITS, але все ж не відповідають їх</w:t>
      </w:r>
      <w:r w:rsidRPr="000E70A4">
        <w:rPr>
          <w:noProof/>
        </w:rPr>
        <w:t>нім</w:t>
      </w:r>
      <w:r w:rsidR="00F23C6B" w:rsidRPr="000E70A4">
        <w:rPr>
          <w:noProof/>
        </w:rPr>
        <w:t xml:space="preserve"> критеріям)</w:t>
      </w:r>
      <w:r w:rsidRPr="000E70A4">
        <w:rPr>
          <w:noProof/>
        </w:rPr>
        <w:t>,</w:t>
      </w:r>
      <w:r w:rsidR="00F23C6B" w:rsidRPr="000E70A4">
        <w:rPr>
          <w:noProof/>
        </w:rPr>
        <w:t xml:space="preserve"> повинні розглядатися з регуляторної точки зору як «нескладні» (non-complex)</w:t>
      </w:r>
      <w:r w:rsidR="00CC7B7B" w:rsidRPr="000E70A4">
        <w:rPr>
          <w:noProof/>
        </w:rPr>
        <w:t>.</w:t>
      </w:r>
      <w:r w:rsidR="00F23C6B" w:rsidRPr="000E70A4">
        <w:rPr>
          <w:noProof/>
        </w:rPr>
        <w:t xml:space="preserve"> </w:t>
      </w:r>
      <w:r w:rsidR="00CC7B7B" w:rsidRPr="000E70A4">
        <w:rPr>
          <w:noProof/>
        </w:rPr>
        <w:t>Це</w:t>
      </w:r>
      <w:r w:rsidR="00F23C6B" w:rsidRPr="000E70A4">
        <w:rPr>
          <w:noProof/>
        </w:rPr>
        <w:t xml:space="preserve"> значно спро</w:t>
      </w:r>
      <w:r w:rsidR="00CC7B7B" w:rsidRPr="000E70A4">
        <w:rPr>
          <w:noProof/>
        </w:rPr>
        <w:t>стить</w:t>
      </w:r>
      <w:r w:rsidR="00F23C6B" w:rsidRPr="000E70A4">
        <w:rPr>
          <w:noProof/>
        </w:rPr>
        <w:t xml:space="preserve"> їх</w:t>
      </w:r>
      <w:r w:rsidRPr="000E70A4">
        <w:rPr>
          <w:noProof/>
        </w:rPr>
        <w:t>нє</w:t>
      </w:r>
      <w:r w:rsidR="00F23C6B" w:rsidRPr="000E70A4">
        <w:rPr>
          <w:noProof/>
        </w:rPr>
        <w:t xml:space="preserve"> регулювання, зокрема, у частині продажу часток у фондах без участі фінансового радника</w:t>
      </w:r>
      <w:r w:rsidR="00D455FC" w:rsidRPr="000E70A4">
        <w:rPr>
          <w:noProof/>
        </w:rPr>
        <w:t>, що є виправданим у випадку з цими фондами</w:t>
      </w:r>
      <w:r w:rsidR="00F23C6B" w:rsidRPr="000E70A4">
        <w:rPr>
          <w:noProof/>
        </w:rPr>
        <w:t>.</w:t>
      </w:r>
    </w:p>
    <w:p w:rsidR="00025145" w:rsidRPr="000E70A4" w:rsidRDefault="006D672C" w:rsidP="00AF6A75">
      <w:pPr>
        <w:ind w:firstLine="567"/>
        <w:jc w:val="both"/>
        <w:rPr>
          <w:noProof/>
        </w:rPr>
      </w:pPr>
      <w:r w:rsidRPr="000E70A4">
        <w:rPr>
          <w:noProof/>
        </w:rPr>
        <w:t>З</w:t>
      </w:r>
      <w:r w:rsidR="00025145" w:rsidRPr="000E70A4">
        <w:rPr>
          <w:noProof/>
        </w:rPr>
        <w:t xml:space="preserve">начної актуальності та важливості набуває </w:t>
      </w:r>
      <w:r w:rsidRPr="000E70A4">
        <w:rPr>
          <w:noProof/>
        </w:rPr>
        <w:t xml:space="preserve">також </w:t>
      </w:r>
      <w:r w:rsidR="00025145" w:rsidRPr="000E70A4">
        <w:rPr>
          <w:noProof/>
        </w:rPr>
        <w:t xml:space="preserve">питання </w:t>
      </w:r>
      <w:r w:rsidRPr="000E70A4">
        <w:rPr>
          <w:noProof/>
        </w:rPr>
        <w:t xml:space="preserve">щодо </w:t>
      </w:r>
      <w:r w:rsidR="00025145" w:rsidRPr="000E70A4">
        <w:rPr>
          <w:b/>
          <w:noProof/>
        </w:rPr>
        <w:t>управління персональними даними відповідно до нового Регламенту ЄС GDPR</w:t>
      </w:r>
      <w:r w:rsidR="00546F06" w:rsidRPr="000E70A4">
        <w:rPr>
          <w:noProof/>
        </w:rPr>
        <w:t>, що також поширюється на «треті країни», до яких належить і Україна, у разі роботи з даними громадян ЄС.</w:t>
      </w:r>
      <w:r w:rsidR="00DE2892" w:rsidRPr="000E70A4">
        <w:rPr>
          <w:noProof/>
        </w:rPr>
        <w:t xml:space="preserve"> А</w:t>
      </w:r>
      <w:r w:rsidR="00025145" w:rsidRPr="000E70A4">
        <w:rPr>
          <w:noProof/>
        </w:rPr>
        <w:t xml:space="preserve">соціації нині працюють над розробкою спільного Кодексу поведінки для своїх учасників </w:t>
      </w:r>
      <w:r w:rsidR="00030539" w:rsidRPr="000E70A4">
        <w:rPr>
          <w:noProof/>
        </w:rPr>
        <w:t xml:space="preserve">для виконання вимог GDPR </w:t>
      </w:r>
      <w:r w:rsidR="00025145" w:rsidRPr="000E70A4">
        <w:rPr>
          <w:noProof/>
        </w:rPr>
        <w:t>та планують координувати</w:t>
      </w:r>
      <w:r w:rsidR="002F4EA5" w:rsidRPr="000E70A4">
        <w:rPr>
          <w:noProof/>
        </w:rPr>
        <w:t xml:space="preserve"> це </w:t>
      </w:r>
      <w:r w:rsidR="00025145" w:rsidRPr="000E70A4">
        <w:rPr>
          <w:noProof/>
        </w:rPr>
        <w:t>питанн</w:t>
      </w:r>
      <w:r w:rsidR="002F4EA5" w:rsidRPr="000E70A4">
        <w:rPr>
          <w:noProof/>
        </w:rPr>
        <w:t>я</w:t>
      </w:r>
      <w:r w:rsidR="00025145" w:rsidRPr="000E70A4">
        <w:rPr>
          <w:noProof/>
        </w:rPr>
        <w:t xml:space="preserve">.  </w:t>
      </w:r>
    </w:p>
    <w:p w:rsidR="00E02537" w:rsidRPr="000E70A4" w:rsidRDefault="00B53D6C" w:rsidP="00AF6A75">
      <w:pPr>
        <w:ind w:firstLine="567"/>
        <w:jc w:val="both"/>
        <w:rPr>
          <w:noProof/>
        </w:rPr>
      </w:pPr>
      <w:r w:rsidRPr="000E70A4">
        <w:rPr>
          <w:noProof/>
        </w:rPr>
        <w:lastRenderedPageBreak/>
        <w:t>В окремих країнах відбулися</w:t>
      </w:r>
      <w:r w:rsidRPr="000E70A4">
        <w:rPr>
          <w:b/>
          <w:noProof/>
        </w:rPr>
        <w:t xml:space="preserve"> зміни в оподаткуванн</w:t>
      </w:r>
      <w:r w:rsidR="00BB5146" w:rsidRPr="000E70A4">
        <w:rPr>
          <w:b/>
          <w:noProof/>
        </w:rPr>
        <w:t>і</w:t>
      </w:r>
      <w:r w:rsidR="00BB5146" w:rsidRPr="000E70A4">
        <w:rPr>
          <w:noProof/>
        </w:rPr>
        <w:t xml:space="preserve"> </w:t>
      </w:r>
      <w:r w:rsidR="006B79E9" w:rsidRPr="000E70A4">
        <w:rPr>
          <w:noProof/>
        </w:rPr>
        <w:t xml:space="preserve">як підприємств загалом, так і </w:t>
      </w:r>
      <w:r w:rsidR="00BB5146" w:rsidRPr="000E70A4">
        <w:rPr>
          <w:noProof/>
        </w:rPr>
        <w:t>фондів</w:t>
      </w:r>
      <w:r w:rsidR="006B79E9" w:rsidRPr="000E70A4">
        <w:rPr>
          <w:noProof/>
        </w:rPr>
        <w:t xml:space="preserve"> – </w:t>
      </w:r>
      <w:r w:rsidR="006128B6" w:rsidRPr="000E70A4">
        <w:rPr>
          <w:noProof/>
        </w:rPr>
        <w:t xml:space="preserve">в одних випадках </w:t>
      </w:r>
      <w:r w:rsidR="006B79E9" w:rsidRPr="000E70A4">
        <w:rPr>
          <w:noProof/>
        </w:rPr>
        <w:t>вони були сприятливими для бізнесу КУА</w:t>
      </w:r>
      <w:r w:rsidR="00BB5146" w:rsidRPr="000E70A4">
        <w:rPr>
          <w:noProof/>
        </w:rPr>
        <w:t xml:space="preserve">, </w:t>
      </w:r>
      <w:r w:rsidR="006B79E9" w:rsidRPr="000E70A4">
        <w:rPr>
          <w:noProof/>
        </w:rPr>
        <w:t>в інших – зменшили привабливість фондів.</w:t>
      </w:r>
      <w:r w:rsidR="00BB5146" w:rsidRPr="000E70A4">
        <w:rPr>
          <w:noProof/>
        </w:rPr>
        <w:t xml:space="preserve"> </w:t>
      </w:r>
    </w:p>
    <w:p w:rsidR="009305E4" w:rsidRPr="000E70A4" w:rsidRDefault="005E1FD5" w:rsidP="00AF6A75">
      <w:pPr>
        <w:ind w:firstLine="567"/>
        <w:jc w:val="both"/>
        <w:rPr>
          <w:noProof/>
        </w:rPr>
      </w:pPr>
      <w:r w:rsidRPr="000E70A4">
        <w:rPr>
          <w:b/>
          <w:noProof/>
        </w:rPr>
        <w:t>З</w:t>
      </w:r>
      <w:r w:rsidR="00E02537" w:rsidRPr="000E70A4">
        <w:rPr>
          <w:b/>
          <w:noProof/>
        </w:rPr>
        <w:t>астос</w:t>
      </w:r>
      <w:r w:rsidR="000D3C74" w:rsidRPr="000E70A4">
        <w:rPr>
          <w:b/>
          <w:noProof/>
        </w:rPr>
        <w:t>у</w:t>
      </w:r>
      <w:r w:rsidR="00E02537" w:rsidRPr="000E70A4">
        <w:rPr>
          <w:b/>
          <w:noProof/>
        </w:rPr>
        <w:t>вання МСФЗ (IFRS) до фондів</w:t>
      </w:r>
      <w:r w:rsidR="00E02537" w:rsidRPr="000E70A4">
        <w:rPr>
          <w:noProof/>
        </w:rPr>
        <w:t xml:space="preserve"> у низці країн у регіоні ЦСЄ та поза ним, зокрема у найбільших юрисдикціях ЄС в індустрії фондів</w:t>
      </w:r>
      <w:r w:rsidR="003A2B13" w:rsidRPr="000E70A4">
        <w:rPr>
          <w:noProof/>
        </w:rPr>
        <w:t xml:space="preserve"> (Люксембург)</w:t>
      </w:r>
      <w:r w:rsidR="00E02537" w:rsidRPr="000E70A4">
        <w:rPr>
          <w:noProof/>
        </w:rPr>
        <w:t>, вирішен</w:t>
      </w:r>
      <w:r w:rsidR="006128B6" w:rsidRPr="000E70A4">
        <w:rPr>
          <w:noProof/>
        </w:rPr>
        <w:t>о</w:t>
      </w:r>
      <w:r w:rsidR="00E02537" w:rsidRPr="000E70A4">
        <w:rPr>
          <w:noProof/>
        </w:rPr>
        <w:t xml:space="preserve"> на користь фондів</w:t>
      </w:r>
      <w:r w:rsidR="006128B6" w:rsidRPr="000E70A4">
        <w:rPr>
          <w:noProof/>
        </w:rPr>
        <w:t>:</w:t>
      </w:r>
      <w:r w:rsidR="00E02537" w:rsidRPr="000E70A4">
        <w:rPr>
          <w:noProof/>
        </w:rPr>
        <w:t xml:space="preserve"> ці стандарти до них не застосовуються</w:t>
      </w:r>
      <w:r w:rsidR="006128B6" w:rsidRPr="000E70A4">
        <w:rPr>
          <w:noProof/>
        </w:rPr>
        <w:t xml:space="preserve">, бо визнані </w:t>
      </w:r>
      <w:r w:rsidR="00E02537" w:rsidRPr="000E70A4">
        <w:rPr>
          <w:noProof/>
        </w:rPr>
        <w:t>неприйнятн</w:t>
      </w:r>
      <w:r w:rsidR="006128B6" w:rsidRPr="000E70A4">
        <w:rPr>
          <w:noProof/>
        </w:rPr>
        <w:t>ими</w:t>
      </w:r>
      <w:r w:rsidR="00E02537" w:rsidRPr="000E70A4">
        <w:rPr>
          <w:noProof/>
        </w:rPr>
        <w:t xml:space="preserve"> для цього виду інститутів та </w:t>
      </w:r>
      <w:r w:rsidRPr="000E70A4">
        <w:rPr>
          <w:noProof/>
        </w:rPr>
        <w:t xml:space="preserve">такими, що </w:t>
      </w:r>
      <w:r w:rsidR="00E02537" w:rsidRPr="000E70A4">
        <w:rPr>
          <w:noProof/>
        </w:rPr>
        <w:t>не дають доданої вартості для інвесторів фондів.</w:t>
      </w:r>
      <w:r w:rsidR="00D512B4" w:rsidRPr="000E70A4">
        <w:rPr>
          <w:noProof/>
        </w:rPr>
        <w:t xml:space="preserve"> Крім того, у низці країн Є</w:t>
      </w:r>
      <w:r w:rsidR="007C707A" w:rsidRPr="000E70A4">
        <w:rPr>
          <w:noProof/>
        </w:rPr>
        <w:t>С</w:t>
      </w:r>
      <w:r w:rsidR="00D512B4" w:rsidRPr="000E70A4">
        <w:rPr>
          <w:noProof/>
        </w:rPr>
        <w:t xml:space="preserve"> застосовує</w:t>
      </w:r>
      <w:r w:rsidR="006128B6" w:rsidRPr="000E70A4">
        <w:rPr>
          <w:noProof/>
        </w:rPr>
        <w:t xml:space="preserve">ться </w:t>
      </w:r>
      <w:r w:rsidR="00D512B4" w:rsidRPr="000E70A4">
        <w:rPr>
          <w:noProof/>
        </w:rPr>
        <w:t xml:space="preserve"> спеціальний стандарт XML </w:t>
      </w:r>
      <w:r w:rsidR="00C51631" w:rsidRPr="000E70A4">
        <w:rPr>
          <w:noProof/>
        </w:rPr>
        <w:t xml:space="preserve">для регуляторного звітування фондів та КУА </w:t>
      </w:r>
      <w:r w:rsidR="00D512B4" w:rsidRPr="000E70A4">
        <w:rPr>
          <w:noProof/>
        </w:rPr>
        <w:t xml:space="preserve">– </w:t>
      </w:r>
      <w:r w:rsidR="00D512B4" w:rsidRPr="000E70A4">
        <w:rPr>
          <w:b/>
          <w:noProof/>
        </w:rPr>
        <w:t>FundsXML</w:t>
      </w:r>
      <w:r w:rsidR="00D512B4" w:rsidRPr="000E70A4">
        <w:rPr>
          <w:noProof/>
        </w:rPr>
        <w:t xml:space="preserve">, розроблений </w:t>
      </w:r>
      <w:r w:rsidR="00516443" w:rsidRPr="000E70A4">
        <w:rPr>
          <w:noProof/>
        </w:rPr>
        <w:t xml:space="preserve">самою індустрією </w:t>
      </w:r>
      <w:r w:rsidR="00D512B4" w:rsidRPr="000E70A4">
        <w:rPr>
          <w:noProof/>
        </w:rPr>
        <w:t xml:space="preserve">з урахуванням </w:t>
      </w:r>
      <w:r w:rsidR="00C51631" w:rsidRPr="000E70A4">
        <w:rPr>
          <w:noProof/>
        </w:rPr>
        <w:t xml:space="preserve">вимог </w:t>
      </w:r>
      <w:r w:rsidR="00D512B4" w:rsidRPr="000E70A4">
        <w:rPr>
          <w:noProof/>
        </w:rPr>
        <w:t>усі</w:t>
      </w:r>
      <w:r w:rsidR="00C51631" w:rsidRPr="000E70A4">
        <w:rPr>
          <w:noProof/>
        </w:rPr>
        <w:t>х</w:t>
      </w:r>
      <w:r w:rsidR="00D512B4" w:rsidRPr="000E70A4">
        <w:rPr>
          <w:noProof/>
        </w:rPr>
        <w:t xml:space="preserve"> Директив та Регламент</w:t>
      </w:r>
      <w:r w:rsidR="00C51631" w:rsidRPr="000E70A4">
        <w:rPr>
          <w:noProof/>
        </w:rPr>
        <w:t>ів ЄС</w:t>
      </w:r>
      <w:r w:rsidR="00D512B4" w:rsidRPr="000E70A4">
        <w:rPr>
          <w:noProof/>
        </w:rPr>
        <w:t>, що стосуються їхньої діяльності</w:t>
      </w:r>
      <w:r w:rsidR="00C51631" w:rsidRPr="000E70A4">
        <w:rPr>
          <w:noProof/>
        </w:rPr>
        <w:t>, а також</w:t>
      </w:r>
      <w:r w:rsidR="00D512B4" w:rsidRPr="000E70A4">
        <w:rPr>
          <w:noProof/>
        </w:rPr>
        <w:t xml:space="preserve"> особливостей їх</w:t>
      </w:r>
      <w:r w:rsidR="006128B6" w:rsidRPr="000E70A4">
        <w:rPr>
          <w:noProof/>
        </w:rPr>
        <w:t>ньої</w:t>
      </w:r>
      <w:r w:rsidR="00D512B4" w:rsidRPr="000E70A4">
        <w:rPr>
          <w:noProof/>
        </w:rPr>
        <w:t xml:space="preserve"> звітності у країнах-учасницях організації FundsXML.</w:t>
      </w:r>
      <w:r w:rsidR="00516443" w:rsidRPr="000E70A4">
        <w:rPr>
          <w:noProof/>
        </w:rPr>
        <w:t xml:space="preserve"> В Австрії цей стандарт визнано регулятором.</w:t>
      </w:r>
    </w:p>
    <w:p w:rsidR="00FD5144" w:rsidRPr="000E70A4" w:rsidRDefault="005E1FD5" w:rsidP="00AF6A75">
      <w:pPr>
        <w:ind w:firstLine="567"/>
        <w:jc w:val="both"/>
        <w:rPr>
          <w:noProof/>
        </w:rPr>
      </w:pPr>
      <w:r w:rsidRPr="000E70A4">
        <w:rPr>
          <w:noProof/>
        </w:rPr>
        <w:t>У</w:t>
      </w:r>
      <w:r w:rsidR="00060F7A" w:rsidRPr="000E70A4">
        <w:rPr>
          <w:noProof/>
        </w:rPr>
        <w:t xml:space="preserve">часники </w:t>
      </w:r>
      <w:r w:rsidRPr="000E70A4">
        <w:rPr>
          <w:noProof/>
        </w:rPr>
        <w:t>зібрання</w:t>
      </w:r>
      <w:r w:rsidR="00060F7A" w:rsidRPr="000E70A4">
        <w:rPr>
          <w:noProof/>
        </w:rPr>
        <w:t xml:space="preserve"> </w:t>
      </w:r>
      <w:r w:rsidR="002F4EA5" w:rsidRPr="000E70A4">
        <w:rPr>
          <w:noProof/>
        </w:rPr>
        <w:t>дійшли згоди</w:t>
      </w:r>
      <w:r w:rsidR="005B359A" w:rsidRPr="000E70A4">
        <w:rPr>
          <w:noProof/>
        </w:rPr>
        <w:t xml:space="preserve">, що за умов зарегульованості індустрії фондів, </w:t>
      </w:r>
      <w:r w:rsidR="005B359A" w:rsidRPr="000E70A4">
        <w:rPr>
          <w:b/>
          <w:noProof/>
        </w:rPr>
        <w:t xml:space="preserve">не потрібно </w:t>
      </w:r>
      <w:r w:rsidR="00515166" w:rsidRPr="000E70A4">
        <w:rPr>
          <w:b/>
          <w:noProof/>
        </w:rPr>
        <w:t>з</w:t>
      </w:r>
      <w:r w:rsidR="005B359A" w:rsidRPr="000E70A4">
        <w:rPr>
          <w:b/>
          <w:noProof/>
        </w:rPr>
        <w:t>більш</w:t>
      </w:r>
      <w:r w:rsidR="00515166" w:rsidRPr="000E70A4">
        <w:rPr>
          <w:b/>
          <w:noProof/>
        </w:rPr>
        <w:t xml:space="preserve">увати </w:t>
      </w:r>
      <w:r w:rsidR="005B359A" w:rsidRPr="000E70A4">
        <w:rPr>
          <w:b/>
          <w:noProof/>
        </w:rPr>
        <w:t>регуляторн</w:t>
      </w:r>
      <w:r w:rsidR="00515166" w:rsidRPr="000E70A4">
        <w:rPr>
          <w:b/>
          <w:noProof/>
        </w:rPr>
        <w:t>і</w:t>
      </w:r>
      <w:r w:rsidR="005B359A" w:rsidRPr="000E70A4">
        <w:rPr>
          <w:b/>
          <w:noProof/>
        </w:rPr>
        <w:t xml:space="preserve"> вимог</w:t>
      </w:r>
      <w:r w:rsidR="00515166" w:rsidRPr="000E70A4">
        <w:rPr>
          <w:b/>
          <w:noProof/>
        </w:rPr>
        <w:t>и</w:t>
      </w:r>
      <w:r w:rsidR="005B359A" w:rsidRPr="000E70A4">
        <w:rPr>
          <w:b/>
          <w:noProof/>
        </w:rPr>
        <w:t xml:space="preserve"> на рівні ЄС, </w:t>
      </w:r>
      <w:r w:rsidRPr="000E70A4">
        <w:rPr>
          <w:b/>
          <w:noProof/>
        </w:rPr>
        <w:t>вартіснішими будуть тіл</w:t>
      </w:r>
      <w:r w:rsidR="005B359A" w:rsidRPr="000E70A4">
        <w:rPr>
          <w:b/>
          <w:noProof/>
        </w:rPr>
        <w:t>ьки роз’яснення вже існуючих</w:t>
      </w:r>
      <w:r w:rsidR="005B359A" w:rsidRPr="000E70A4">
        <w:rPr>
          <w:noProof/>
        </w:rPr>
        <w:t>, щоб зробити їх більш зрозумілими і чіткими.</w:t>
      </w:r>
      <w:r w:rsidR="00A20A3F" w:rsidRPr="000E70A4">
        <w:rPr>
          <w:noProof/>
        </w:rPr>
        <w:t xml:space="preserve"> </w:t>
      </w:r>
      <w:r w:rsidRPr="000E70A4">
        <w:rPr>
          <w:noProof/>
        </w:rPr>
        <w:t xml:space="preserve">Найбільш вразливими до підвищення </w:t>
      </w:r>
      <w:r w:rsidR="00BC6FC1" w:rsidRPr="000E70A4">
        <w:rPr>
          <w:noProof/>
        </w:rPr>
        <w:t xml:space="preserve">вимог </w:t>
      </w:r>
      <w:r w:rsidRPr="000E70A4">
        <w:rPr>
          <w:noProof/>
        </w:rPr>
        <w:t xml:space="preserve">та збільшення регуляторного навантаження </w:t>
      </w:r>
      <w:r w:rsidR="00515166" w:rsidRPr="000E70A4">
        <w:rPr>
          <w:noProof/>
        </w:rPr>
        <w:t xml:space="preserve">є </w:t>
      </w:r>
      <w:r w:rsidR="00A20A3F" w:rsidRPr="000E70A4">
        <w:rPr>
          <w:noProof/>
        </w:rPr>
        <w:t>найменші країни</w:t>
      </w:r>
      <w:r w:rsidR="00515166" w:rsidRPr="000E70A4">
        <w:rPr>
          <w:noProof/>
        </w:rPr>
        <w:t xml:space="preserve"> </w:t>
      </w:r>
      <w:r w:rsidR="00A20A3F" w:rsidRPr="000E70A4">
        <w:rPr>
          <w:noProof/>
        </w:rPr>
        <w:t>регіону</w:t>
      </w:r>
      <w:r w:rsidR="00515166" w:rsidRPr="000E70A4">
        <w:rPr>
          <w:noProof/>
        </w:rPr>
        <w:t xml:space="preserve"> та </w:t>
      </w:r>
      <w:r w:rsidR="00A20A3F" w:rsidRPr="000E70A4">
        <w:rPr>
          <w:noProof/>
        </w:rPr>
        <w:t xml:space="preserve">ЄС, </w:t>
      </w:r>
      <w:r w:rsidR="00515166" w:rsidRPr="000E70A4">
        <w:rPr>
          <w:noProof/>
        </w:rPr>
        <w:t xml:space="preserve">вони </w:t>
      </w:r>
      <w:r w:rsidR="00A20A3F" w:rsidRPr="000E70A4">
        <w:rPr>
          <w:noProof/>
        </w:rPr>
        <w:t xml:space="preserve">вимагають запровадження задекларованого у праві ЄС </w:t>
      </w:r>
      <w:r w:rsidR="00A20A3F" w:rsidRPr="000E70A4">
        <w:rPr>
          <w:b/>
          <w:noProof/>
        </w:rPr>
        <w:t>принципу пропорційності</w:t>
      </w:r>
      <w:r w:rsidR="00A20A3F" w:rsidRPr="000E70A4">
        <w:rPr>
          <w:noProof/>
        </w:rPr>
        <w:t xml:space="preserve"> у застосуванні вимог. </w:t>
      </w:r>
      <w:r w:rsidR="00FD5144" w:rsidRPr="000E70A4">
        <w:rPr>
          <w:noProof/>
        </w:rPr>
        <w:t xml:space="preserve">Наприклад, через надто високі регуляторні вимоги, на тлі зниження рівня винагороди за управління, </w:t>
      </w:r>
      <w:r w:rsidR="00BC6FC1" w:rsidRPr="000E70A4">
        <w:rPr>
          <w:noProof/>
        </w:rPr>
        <w:t>в окремих</w:t>
      </w:r>
      <w:r w:rsidR="00FD5144" w:rsidRPr="000E70A4">
        <w:rPr>
          <w:noProof/>
        </w:rPr>
        <w:t xml:space="preserve"> країнах майже повністю зникли або незабаром зникнуть фонди грошового ринку (MMF). </w:t>
      </w:r>
      <w:r w:rsidR="00623514" w:rsidRPr="000E70A4">
        <w:rPr>
          <w:noProof/>
        </w:rPr>
        <w:t>Також, у деяких країнах регуляторні вимоги для місцевих КУА є значно вищими за вимоги до іноземних «дистрибуторів» (КУА) фондів, що дозволяє останнім вигравати у міжнародній конкуренції</w:t>
      </w:r>
      <w:r w:rsidR="00E259AE" w:rsidRPr="000E70A4">
        <w:rPr>
          <w:noProof/>
        </w:rPr>
        <w:t xml:space="preserve"> за інвесторів</w:t>
      </w:r>
      <w:r w:rsidR="00623514" w:rsidRPr="000E70A4">
        <w:rPr>
          <w:noProof/>
        </w:rPr>
        <w:t xml:space="preserve">. </w:t>
      </w:r>
    </w:p>
    <w:p w:rsidR="00AF3CAB" w:rsidRPr="000E70A4" w:rsidRDefault="00A20A3F" w:rsidP="00AF6A75">
      <w:pPr>
        <w:ind w:firstLine="567"/>
        <w:jc w:val="both"/>
        <w:rPr>
          <w:noProof/>
        </w:rPr>
      </w:pPr>
      <w:r w:rsidRPr="000E70A4">
        <w:rPr>
          <w:noProof/>
        </w:rPr>
        <w:t xml:space="preserve">Позитивним кроком </w:t>
      </w:r>
      <w:r w:rsidR="00F87570" w:rsidRPr="000E70A4">
        <w:rPr>
          <w:noProof/>
        </w:rPr>
        <w:t xml:space="preserve">у цьому </w:t>
      </w:r>
      <w:r w:rsidR="00515166" w:rsidRPr="000E70A4">
        <w:rPr>
          <w:noProof/>
        </w:rPr>
        <w:t>напрямку</w:t>
      </w:r>
      <w:r w:rsidR="00F87570" w:rsidRPr="000E70A4">
        <w:rPr>
          <w:noProof/>
        </w:rPr>
        <w:t xml:space="preserve"> </w:t>
      </w:r>
      <w:r w:rsidRPr="000E70A4">
        <w:rPr>
          <w:noProof/>
        </w:rPr>
        <w:t xml:space="preserve">є запропонований Європейською Комсією </w:t>
      </w:r>
      <w:r w:rsidRPr="000E70A4">
        <w:rPr>
          <w:b/>
          <w:noProof/>
        </w:rPr>
        <w:t>новий режим пруденційного нагляду в ЄС</w:t>
      </w:r>
      <w:r w:rsidRPr="000E70A4">
        <w:rPr>
          <w:noProof/>
        </w:rPr>
        <w:t xml:space="preserve"> (стосується інвестиційних фірм, що підпадають під </w:t>
      </w:r>
      <w:r w:rsidR="00AF3CAB" w:rsidRPr="000E70A4">
        <w:rPr>
          <w:noProof/>
        </w:rPr>
        <w:t>дію</w:t>
      </w:r>
      <w:r w:rsidRPr="000E70A4">
        <w:rPr>
          <w:noProof/>
        </w:rPr>
        <w:t xml:space="preserve"> MiFID II</w:t>
      </w:r>
      <w:r w:rsidR="00AF3CAB" w:rsidRPr="000E70A4">
        <w:rPr>
          <w:noProof/>
        </w:rPr>
        <w:t xml:space="preserve"> та, відповідно, Директиви і Регламенту ЄС про вимоги до капіталу інвестиційних фірм та кредитних установ CRDIV/CRR</w:t>
      </w:r>
      <w:r w:rsidRPr="000E70A4">
        <w:rPr>
          <w:noProof/>
        </w:rPr>
        <w:t>)</w:t>
      </w:r>
      <w:r w:rsidR="00F87570" w:rsidRPr="000E70A4">
        <w:rPr>
          <w:noProof/>
        </w:rPr>
        <w:t xml:space="preserve">, </w:t>
      </w:r>
      <w:r w:rsidR="00515166" w:rsidRPr="000E70A4">
        <w:rPr>
          <w:noProof/>
        </w:rPr>
        <w:t xml:space="preserve">оскільки </w:t>
      </w:r>
      <w:r w:rsidR="00F87570" w:rsidRPr="000E70A4">
        <w:rPr>
          <w:noProof/>
        </w:rPr>
        <w:t xml:space="preserve">він є прикладом втілення </w:t>
      </w:r>
      <w:r w:rsidR="00D226A9" w:rsidRPr="000E70A4">
        <w:rPr>
          <w:noProof/>
        </w:rPr>
        <w:t>принципу пропорційності на європейському рівні</w:t>
      </w:r>
      <w:r w:rsidR="00AF3CAB" w:rsidRPr="000E70A4">
        <w:rPr>
          <w:noProof/>
        </w:rPr>
        <w:t>.</w:t>
      </w:r>
      <w:r w:rsidRPr="000E70A4">
        <w:rPr>
          <w:noProof/>
        </w:rPr>
        <w:t xml:space="preserve"> На національному </w:t>
      </w:r>
      <w:r w:rsidR="00AF3CAB" w:rsidRPr="000E70A4">
        <w:rPr>
          <w:noProof/>
        </w:rPr>
        <w:t xml:space="preserve">рівні деякі </w:t>
      </w:r>
      <w:r w:rsidR="000C3FD8" w:rsidRPr="000E70A4">
        <w:rPr>
          <w:noProof/>
        </w:rPr>
        <w:t>асоціації регіону</w:t>
      </w:r>
      <w:r w:rsidR="00AF3CAB" w:rsidRPr="000E70A4">
        <w:rPr>
          <w:noProof/>
        </w:rPr>
        <w:t xml:space="preserve"> вже досягли </w:t>
      </w:r>
      <w:r w:rsidR="003D41A1" w:rsidRPr="000E70A4">
        <w:rPr>
          <w:noProof/>
        </w:rPr>
        <w:t xml:space="preserve">певного </w:t>
      </w:r>
      <w:r w:rsidR="00AF3CAB" w:rsidRPr="000E70A4">
        <w:rPr>
          <w:noProof/>
        </w:rPr>
        <w:t xml:space="preserve">успіху у роботі з регуляторами </w:t>
      </w:r>
      <w:r w:rsidRPr="000E70A4">
        <w:rPr>
          <w:noProof/>
        </w:rPr>
        <w:t xml:space="preserve">щодо </w:t>
      </w:r>
      <w:r w:rsidR="00AF3CAB" w:rsidRPr="000E70A4">
        <w:rPr>
          <w:noProof/>
        </w:rPr>
        <w:t>впровадження пропорційних вимог на своїх ринках</w:t>
      </w:r>
      <w:r w:rsidR="000C3FD8" w:rsidRPr="000E70A4">
        <w:rPr>
          <w:noProof/>
        </w:rPr>
        <w:t xml:space="preserve"> – у тому числі завдяки координації та обміну досвідом між собою</w:t>
      </w:r>
      <w:r w:rsidR="00B64AB3" w:rsidRPr="000E70A4">
        <w:rPr>
          <w:noProof/>
        </w:rPr>
        <w:t xml:space="preserve"> у рамках </w:t>
      </w:r>
      <w:r w:rsidR="000B71FA" w:rsidRPr="000E70A4">
        <w:rPr>
          <w:noProof/>
        </w:rPr>
        <w:t xml:space="preserve">Ініціативної </w:t>
      </w:r>
      <w:r w:rsidR="00B64AB3" w:rsidRPr="000E70A4">
        <w:rPr>
          <w:noProof/>
        </w:rPr>
        <w:t>групи СЕЕ</w:t>
      </w:r>
      <w:r w:rsidR="00AF3CAB" w:rsidRPr="000E70A4">
        <w:rPr>
          <w:noProof/>
        </w:rPr>
        <w:t xml:space="preserve">. </w:t>
      </w:r>
    </w:p>
    <w:p w:rsidR="00B23754" w:rsidRPr="000E70A4" w:rsidRDefault="00B23754" w:rsidP="00AF6A75">
      <w:pPr>
        <w:ind w:firstLine="567"/>
        <w:jc w:val="both"/>
        <w:rPr>
          <w:noProof/>
        </w:rPr>
      </w:pPr>
      <w:r w:rsidRPr="000E70A4">
        <w:rPr>
          <w:noProof/>
        </w:rPr>
        <w:t>Представниця</w:t>
      </w:r>
      <w:r w:rsidRPr="000E70A4">
        <w:rPr>
          <w:b/>
          <w:noProof/>
        </w:rPr>
        <w:t xml:space="preserve"> УАІБ </w:t>
      </w:r>
      <w:r w:rsidRPr="000E70A4">
        <w:rPr>
          <w:noProof/>
        </w:rPr>
        <w:t>Анастасія Гаврилюк</w:t>
      </w:r>
      <w:r w:rsidRPr="000E70A4">
        <w:rPr>
          <w:b/>
          <w:noProof/>
        </w:rPr>
        <w:t xml:space="preserve"> </w:t>
      </w:r>
      <w:r w:rsidRPr="000E70A4">
        <w:rPr>
          <w:noProof/>
        </w:rPr>
        <w:t xml:space="preserve">повідомила про </w:t>
      </w:r>
      <w:r w:rsidR="00073B46" w:rsidRPr="000E70A4">
        <w:rPr>
          <w:noProof/>
        </w:rPr>
        <w:t>о</w:t>
      </w:r>
      <w:r w:rsidR="00515166" w:rsidRPr="000E70A4">
        <w:rPr>
          <w:noProof/>
        </w:rPr>
        <w:t>бнадійливі</w:t>
      </w:r>
      <w:r w:rsidRPr="000E70A4">
        <w:rPr>
          <w:noProof/>
        </w:rPr>
        <w:t xml:space="preserve"> зрушення в економіці України у 2017 році, зокрема у торгівлі з ЄС, стабілізацію фінансової ситуації </w:t>
      </w:r>
      <w:r w:rsidR="00515166" w:rsidRPr="000E70A4">
        <w:rPr>
          <w:noProof/>
        </w:rPr>
        <w:t>у</w:t>
      </w:r>
      <w:r w:rsidRPr="000E70A4">
        <w:rPr>
          <w:noProof/>
        </w:rPr>
        <w:t xml:space="preserve"> країні та позитивні результати української індустрії управління активами, зокрема сектору відкритих фондів, у 2017 році та 1-му кварталі 2018 року</w:t>
      </w:r>
      <w:r w:rsidR="00515166" w:rsidRPr="000E70A4">
        <w:rPr>
          <w:noProof/>
        </w:rPr>
        <w:t xml:space="preserve">. Вона </w:t>
      </w:r>
      <w:r w:rsidRPr="000E70A4">
        <w:rPr>
          <w:noProof/>
        </w:rPr>
        <w:t xml:space="preserve">також </w:t>
      </w:r>
      <w:r w:rsidR="00642CA3" w:rsidRPr="000E70A4">
        <w:rPr>
          <w:noProof/>
        </w:rPr>
        <w:t xml:space="preserve">розповіла </w:t>
      </w:r>
      <w:r w:rsidRPr="000E70A4">
        <w:rPr>
          <w:noProof/>
        </w:rPr>
        <w:t>про законодавчі та регуляторні зміни, що стосу</w:t>
      </w:r>
      <w:r w:rsidR="003942CE" w:rsidRPr="000E70A4">
        <w:rPr>
          <w:noProof/>
        </w:rPr>
        <w:t>ють</w:t>
      </w:r>
      <w:r w:rsidRPr="000E70A4">
        <w:rPr>
          <w:noProof/>
        </w:rPr>
        <w:t xml:space="preserve">ся КУА та ІСІ, </w:t>
      </w:r>
      <w:r w:rsidR="003942CE" w:rsidRPr="000E70A4">
        <w:rPr>
          <w:noProof/>
        </w:rPr>
        <w:t xml:space="preserve">прийняті за останні півроку </w:t>
      </w:r>
      <w:r w:rsidRPr="000E70A4">
        <w:rPr>
          <w:noProof/>
        </w:rPr>
        <w:t xml:space="preserve">й ті, що очікуються найближчим часом. </w:t>
      </w:r>
      <w:r w:rsidR="00642CA3" w:rsidRPr="000E70A4">
        <w:rPr>
          <w:noProof/>
        </w:rPr>
        <w:t>Серед них, зокрема, з</w:t>
      </w:r>
      <w:r w:rsidRPr="000E70A4">
        <w:rPr>
          <w:noProof/>
        </w:rPr>
        <w:t xml:space="preserve">міни в регулюванні акціонерних товариств, товариств з обмеженою відповідальністю, аудиторів та фондових бірж, у тому числі щодо </w:t>
      </w:r>
      <w:r w:rsidR="00F249F1" w:rsidRPr="000E70A4">
        <w:rPr>
          <w:noProof/>
        </w:rPr>
        <w:t xml:space="preserve">лістингу та </w:t>
      </w:r>
      <w:r w:rsidRPr="000E70A4">
        <w:rPr>
          <w:noProof/>
        </w:rPr>
        <w:t xml:space="preserve">допуску до торгівлі в Україні цінних паперів іноземних емітентів, збільшення можливостей для КУА інвестувати активи ІСІ та НПФ у позабіржові цінні папери та, водночас, деяке посилення режиму пруденційного нагляду для КУА тощо. </w:t>
      </w:r>
    </w:p>
    <w:p w:rsidR="00B23754" w:rsidRPr="000E70A4" w:rsidRDefault="00B23754" w:rsidP="00AF6A75">
      <w:pPr>
        <w:ind w:firstLine="567"/>
        <w:jc w:val="both"/>
        <w:rPr>
          <w:noProof/>
        </w:rPr>
      </w:pPr>
      <w:r w:rsidRPr="000E70A4">
        <w:rPr>
          <w:noProof/>
        </w:rPr>
        <w:t xml:space="preserve">Серед відкритих питань </w:t>
      </w:r>
      <w:r w:rsidR="00F249F1" w:rsidRPr="000E70A4">
        <w:rPr>
          <w:noProof/>
        </w:rPr>
        <w:t xml:space="preserve">для української </w:t>
      </w:r>
      <w:r w:rsidR="00642CA3" w:rsidRPr="000E70A4">
        <w:rPr>
          <w:noProof/>
        </w:rPr>
        <w:t xml:space="preserve">галузі управління активами інституційних інвестрів залишаються </w:t>
      </w:r>
      <w:r w:rsidRPr="000E70A4">
        <w:rPr>
          <w:noProof/>
        </w:rPr>
        <w:t xml:space="preserve">заплановане </w:t>
      </w:r>
      <w:r w:rsidR="00642CA3" w:rsidRPr="000E70A4">
        <w:rPr>
          <w:noProof/>
        </w:rPr>
        <w:t>у</w:t>
      </w:r>
      <w:r w:rsidRPr="000E70A4">
        <w:rPr>
          <w:noProof/>
        </w:rPr>
        <w:t xml:space="preserve">рядом та </w:t>
      </w:r>
      <w:r w:rsidR="00642CA3" w:rsidRPr="000E70A4">
        <w:rPr>
          <w:noProof/>
        </w:rPr>
        <w:t xml:space="preserve">регулятором </w:t>
      </w:r>
      <w:r w:rsidRPr="000E70A4">
        <w:rPr>
          <w:noProof/>
        </w:rPr>
        <w:t xml:space="preserve">транспонування законодавства ЄС щодо фондів (зокрема, Директива про </w:t>
      </w:r>
      <w:r w:rsidRPr="000E70A4">
        <w:rPr>
          <w:noProof/>
          <w:lang w:val="en-US"/>
        </w:rPr>
        <w:t>UCITS</w:t>
      </w:r>
      <w:r w:rsidRPr="000E70A4">
        <w:rPr>
          <w:noProof/>
        </w:rPr>
        <w:t>), проекти пенсійної та податкової реформ, валютна лібералізація НБУ і кроки щодо поступового впровадження вільного руху капіталу, проект змін у регулюванні депозитарної системи т</w:t>
      </w:r>
      <w:r w:rsidR="003D41A1" w:rsidRPr="000E70A4">
        <w:rPr>
          <w:noProof/>
        </w:rPr>
        <w:t>а ін</w:t>
      </w:r>
      <w:r w:rsidRPr="000E70A4">
        <w:rPr>
          <w:noProof/>
        </w:rPr>
        <w:t xml:space="preserve">. </w:t>
      </w:r>
      <w:r w:rsidR="00642CA3" w:rsidRPr="000E70A4">
        <w:rPr>
          <w:noProof/>
        </w:rPr>
        <w:t>О</w:t>
      </w:r>
      <w:r w:rsidRPr="000E70A4">
        <w:rPr>
          <w:noProof/>
        </w:rPr>
        <w:t>чікувані зміни покликані сприяти залученню іноземних інвестицій в Україну – та водночас полегшити диверсифікацію портфелів українських ІСІ та НПФ за рахунок іноземних цінних паперів, що, серед іншого, дасть додаткові інструменти для управління ризиками фондів.</w:t>
      </w:r>
    </w:p>
    <w:p w:rsidR="005B359A" w:rsidRPr="000E70A4" w:rsidRDefault="00B23754" w:rsidP="00AF6A75">
      <w:pPr>
        <w:ind w:firstLine="567"/>
        <w:jc w:val="both"/>
        <w:rPr>
          <w:noProof/>
          <w:lang w:val="ru-RU"/>
        </w:rPr>
      </w:pPr>
      <w:r w:rsidRPr="000E70A4">
        <w:rPr>
          <w:noProof/>
        </w:rPr>
        <w:t xml:space="preserve">Наступна зустріч групи </w:t>
      </w:r>
      <w:r w:rsidR="00D862F0" w:rsidRPr="000E70A4">
        <w:rPr>
          <w:noProof/>
          <w:lang w:val="en-US"/>
        </w:rPr>
        <w:t>CEE</w:t>
      </w:r>
      <w:r w:rsidR="00D862F0" w:rsidRPr="000E70A4">
        <w:rPr>
          <w:noProof/>
        </w:rPr>
        <w:t>-</w:t>
      </w:r>
      <w:r w:rsidR="00D862F0" w:rsidRPr="000E70A4">
        <w:rPr>
          <w:noProof/>
          <w:lang w:val="en-US"/>
        </w:rPr>
        <w:t>Initiative</w:t>
      </w:r>
      <w:r w:rsidR="00D862F0" w:rsidRPr="000E70A4">
        <w:rPr>
          <w:noProof/>
          <w:lang w:val="ru-RU"/>
        </w:rPr>
        <w:t xml:space="preserve"> запланована на 2019 рік та відбудеться у Празі.</w:t>
      </w:r>
    </w:p>
    <w:p w:rsidR="00CA581D" w:rsidRPr="00AF6A75" w:rsidRDefault="00CA581D" w:rsidP="00AF6A75">
      <w:pPr>
        <w:ind w:firstLine="567"/>
        <w:jc w:val="both"/>
        <w:rPr>
          <w:noProof/>
          <w:lang w:val="ru-RU"/>
        </w:rPr>
      </w:pPr>
      <w:r w:rsidRPr="000E70A4">
        <w:rPr>
          <w:noProof/>
          <w:lang w:val="ru-RU"/>
        </w:rPr>
        <w:t xml:space="preserve">Більше про </w:t>
      </w:r>
      <w:r w:rsidRPr="000E70A4">
        <w:rPr>
          <w:noProof/>
          <w:lang w:val="en-US"/>
        </w:rPr>
        <w:t>CEE</w:t>
      </w:r>
      <w:r w:rsidRPr="000E70A4">
        <w:rPr>
          <w:noProof/>
        </w:rPr>
        <w:t>-</w:t>
      </w:r>
      <w:r w:rsidRPr="000E70A4">
        <w:rPr>
          <w:noProof/>
          <w:lang w:val="en-US"/>
        </w:rPr>
        <w:t>Initiative</w:t>
      </w:r>
      <w:r w:rsidRPr="000E70A4">
        <w:rPr>
          <w:noProof/>
        </w:rPr>
        <w:t xml:space="preserve"> – </w:t>
      </w:r>
      <w:hyperlink r:id="rId8" w:history="1">
        <w:r w:rsidRPr="000E70A4">
          <w:rPr>
            <w:rStyle w:val="ab"/>
            <w:noProof/>
          </w:rPr>
          <w:t>на сайті УАІБ</w:t>
        </w:r>
      </w:hyperlink>
      <w:r w:rsidR="00B16B55" w:rsidRPr="000E70A4">
        <w:rPr>
          <w:noProof/>
          <w:lang w:val="ru-RU"/>
        </w:rPr>
        <w:t>.</w:t>
      </w:r>
      <w:r w:rsidRPr="00AF6A75">
        <w:rPr>
          <w:noProof/>
          <w:lang w:val="ru-RU"/>
        </w:rPr>
        <w:t xml:space="preserve"> </w:t>
      </w:r>
    </w:p>
    <w:p w:rsidR="004D2F86" w:rsidRPr="00AF6A75" w:rsidRDefault="004D2F86" w:rsidP="00AF6A75">
      <w:pPr>
        <w:ind w:firstLine="567"/>
        <w:jc w:val="both"/>
        <w:rPr>
          <w:i/>
          <w:noProof/>
        </w:rPr>
      </w:pPr>
    </w:p>
    <w:sectPr w:rsidR="004D2F86" w:rsidRPr="00AF6A75" w:rsidSect="004E476F">
      <w:footerReference w:type="default" r:id="rId9"/>
      <w:pgSz w:w="11906" w:h="16838"/>
      <w:pgMar w:top="709" w:right="707" w:bottom="709" w:left="851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57A" w:rsidRDefault="009B457A" w:rsidP="00F66115">
      <w:r>
        <w:separator/>
      </w:r>
    </w:p>
  </w:endnote>
  <w:endnote w:type="continuationSeparator" w:id="0">
    <w:p w:rsidR="009B457A" w:rsidRDefault="009B457A" w:rsidP="00F6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896401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09691B" w:rsidRPr="00012367" w:rsidRDefault="0009691B">
        <w:pPr>
          <w:pStyle w:val="a9"/>
          <w:jc w:val="center"/>
          <w:rPr>
            <w:rFonts w:asciiTheme="minorHAnsi" w:hAnsiTheme="minorHAnsi"/>
            <w:sz w:val="20"/>
            <w:szCs w:val="20"/>
          </w:rPr>
        </w:pPr>
        <w:r w:rsidRPr="00012367">
          <w:rPr>
            <w:rFonts w:asciiTheme="minorHAnsi" w:hAnsiTheme="minorHAnsi"/>
            <w:sz w:val="20"/>
            <w:szCs w:val="20"/>
          </w:rPr>
          <w:fldChar w:fldCharType="begin"/>
        </w:r>
        <w:r w:rsidRPr="00012367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012367">
          <w:rPr>
            <w:rFonts w:asciiTheme="minorHAnsi" w:hAnsiTheme="minorHAnsi"/>
            <w:sz w:val="20"/>
            <w:szCs w:val="20"/>
          </w:rPr>
          <w:fldChar w:fldCharType="separate"/>
        </w:r>
        <w:r w:rsidR="00362CC0" w:rsidRPr="00362CC0">
          <w:rPr>
            <w:rFonts w:asciiTheme="minorHAnsi" w:hAnsiTheme="minorHAnsi"/>
            <w:noProof/>
            <w:sz w:val="20"/>
            <w:szCs w:val="20"/>
            <w:lang w:val="ru-RU"/>
          </w:rPr>
          <w:t>2</w:t>
        </w:r>
        <w:r w:rsidRPr="00012367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09691B" w:rsidRDefault="0009691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57A" w:rsidRDefault="009B457A" w:rsidP="00F66115">
      <w:r>
        <w:separator/>
      </w:r>
    </w:p>
  </w:footnote>
  <w:footnote w:type="continuationSeparator" w:id="0">
    <w:p w:rsidR="009B457A" w:rsidRDefault="009B457A" w:rsidP="00F66115">
      <w:r>
        <w:continuationSeparator/>
      </w:r>
    </w:p>
  </w:footnote>
  <w:footnote w:id="1">
    <w:p w:rsidR="00D0065B" w:rsidRPr="00D0065B" w:rsidRDefault="00D0065B" w:rsidP="00D0065B">
      <w:pPr>
        <w:spacing w:after="120"/>
        <w:ind w:firstLine="567"/>
        <w:jc w:val="both"/>
        <w:rPr>
          <w:rFonts w:asciiTheme="minorHAnsi" w:hAnsiTheme="minorHAnsi"/>
          <w:noProof/>
          <w:sz w:val="20"/>
          <w:szCs w:val="20"/>
        </w:rPr>
      </w:pPr>
      <w:r w:rsidRPr="00D0065B">
        <w:rPr>
          <w:rStyle w:val="a6"/>
          <w:rFonts w:asciiTheme="minorHAnsi" w:hAnsiTheme="minorHAnsi"/>
          <w:sz w:val="20"/>
          <w:szCs w:val="20"/>
        </w:rPr>
        <w:footnoteRef/>
      </w:r>
      <w:r w:rsidRPr="00D0065B">
        <w:rPr>
          <w:rFonts w:asciiTheme="minorHAnsi" w:hAnsiTheme="minorHAnsi"/>
          <w:sz w:val="20"/>
          <w:szCs w:val="20"/>
        </w:rPr>
        <w:t xml:space="preserve"> </w:t>
      </w:r>
      <w:r w:rsidRPr="00D0065B">
        <w:rPr>
          <w:rFonts w:asciiTheme="minorHAnsi" w:hAnsiTheme="minorHAnsi"/>
          <w:noProof/>
          <w:sz w:val="20"/>
          <w:szCs w:val="20"/>
        </w:rPr>
        <w:t>УАІБ, як і раніше, продовжує співпрацювати з національними асоціаціями ЦСЄ та EFAMA відповідно до підписаних раніше меморандумів про взаєморозуміння.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D2A5D"/>
    <w:multiLevelType w:val="hybridMultilevel"/>
    <w:tmpl w:val="CD5A7768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E56B2D"/>
    <w:multiLevelType w:val="hybridMultilevel"/>
    <w:tmpl w:val="DE04D2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64D8A"/>
    <w:multiLevelType w:val="hybridMultilevel"/>
    <w:tmpl w:val="EAD6C6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1A0"/>
    <w:rsid w:val="00000FF4"/>
    <w:rsid w:val="00001389"/>
    <w:rsid w:val="00003FA9"/>
    <w:rsid w:val="00007075"/>
    <w:rsid w:val="00012367"/>
    <w:rsid w:val="00012732"/>
    <w:rsid w:val="00013171"/>
    <w:rsid w:val="00017373"/>
    <w:rsid w:val="00020F42"/>
    <w:rsid w:val="00025145"/>
    <w:rsid w:val="00030539"/>
    <w:rsid w:val="00044917"/>
    <w:rsid w:val="00050986"/>
    <w:rsid w:val="00052854"/>
    <w:rsid w:val="00060F7A"/>
    <w:rsid w:val="00072F43"/>
    <w:rsid w:val="00073B46"/>
    <w:rsid w:val="00094FF5"/>
    <w:rsid w:val="0009691B"/>
    <w:rsid w:val="000A0178"/>
    <w:rsid w:val="000A21C1"/>
    <w:rsid w:val="000A6E32"/>
    <w:rsid w:val="000B015C"/>
    <w:rsid w:val="000B6EE3"/>
    <w:rsid w:val="000B71FA"/>
    <w:rsid w:val="000B76B8"/>
    <w:rsid w:val="000C3FD8"/>
    <w:rsid w:val="000C5A76"/>
    <w:rsid w:val="000D3459"/>
    <w:rsid w:val="000D3C74"/>
    <w:rsid w:val="000E37C2"/>
    <w:rsid w:val="000E70A4"/>
    <w:rsid w:val="001009AF"/>
    <w:rsid w:val="00107A88"/>
    <w:rsid w:val="001179AC"/>
    <w:rsid w:val="00123A71"/>
    <w:rsid w:val="001336DA"/>
    <w:rsid w:val="0013487F"/>
    <w:rsid w:val="001366F7"/>
    <w:rsid w:val="00136B39"/>
    <w:rsid w:val="001473DF"/>
    <w:rsid w:val="00153436"/>
    <w:rsid w:val="0016476F"/>
    <w:rsid w:val="0017726A"/>
    <w:rsid w:val="00187393"/>
    <w:rsid w:val="001A787E"/>
    <w:rsid w:val="001E1AF1"/>
    <w:rsid w:val="001F0626"/>
    <w:rsid w:val="002009B4"/>
    <w:rsid w:val="002047E5"/>
    <w:rsid w:val="0023133F"/>
    <w:rsid w:val="00231A1E"/>
    <w:rsid w:val="002454C0"/>
    <w:rsid w:val="002537EB"/>
    <w:rsid w:val="00254820"/>
    <w:rsid w:val="00255EF2"/>
    <w:rsid w:val="00256935"/>
    <w:rsid w:val="00260B94"/>
    <w:rsid w:val="002741A7"/>
    <w:rsid w:val="00282663"/>
    <w:rsid w:val="002922EF"/>
    <w:rsid w:val="0029466F"/>
    <w:rsid w:val="002A0B7C"/>
    <w:rsid w:val="002B1522"/>
    <w:rsid w:val="002B3744"/>
    <w:rsid w:val="002C44C9"/>
    <w:rsid w:val="002D245A"/>
    <w:rsid w:val="002F27C2"/>
    <w:rsid w:val="002F4EA5"/>
    <w:rsid w:val="002F51F7"/>
    <w:rsid w:val="003007F6"/>
    <w:rsid w:val="00301339"/>
    <w:rsid w:val="0031790F"/>
    <w:rsid w:val="00343FF2"/>
    <w:rsid w:val="0034473A"/>
    <w:rsid w:val="00346BF4"/>
    <w:rsid w:val="00354608"/>
    <w:rsid w:val="00362CC0"/>
    <w:rsid w:val="00386828"/>
    <w:rsid w:val="003942CE"/>
    <w:rsid w:val="003A2B13"/>
    <w:rsid w:val="003B3828"/>
    <w:rsid w:val="003B73D0"/>
    <w:rsid w:val="003B75DA"/>
    <w:rsid w:val="003C14B9"/>
    <w:rsid w:val="003D1237"/>
    <w:rsid w:val="003D41A1"/>
    <w:rsid w:val="003E3780"/>
    <w:rsid w:val="003E7836"/>
    <w:rsid w:val="003F0A0A"/>
    <w:rsid w:val="003F1634"/>
    <w:rsid w:val="00400C95"/>
    <w:rsid w:val="00402117"/>
    <w:rsid w:val="00420257"/>
    <w:rsid w:val="004320D1"/>
    <w:rsid w:val="0045780B"/>
    <w:rsid w:val="00467540"/>
    <w:rsid w:val="00481178"/>
    <w:rsid w:val="00483589"/>
    <w:rsid w:val="0049308E"/>
    <w:rsid w:val="0049520A"/>
    <w:rsid w:val="004A6287"/>
    <w:rsid w:val="004A78B4"/>
    <w:rsid w:val="004B6B64"/>
    <w:rsid w:val="004D0E6B"/>
    <w:rsid w:val="004D2F86"/>
    <w:rsid w:val="004E476F"/>
    <w:rsid w:val="004E5E8B"/>
    <w:rsid w:val="00500F9F"/>
    <w:rsid w:val="00515166"/>
    <w:rsid w:val="00516198"/>
    <w:rsid w:val="00516443"/>
    <w:rsid w:val="00517D07"/>
    <w:rsid w:val="00517E98"/>
    <w:rsid w:val="005425DF"/>
    <w:rsid w:val="00546156"/>
    <w:rsid w:val="00546F06"/>
    <w:rsid w:val="00554DA4"/>
    <w:rsid w:val="0057547A"/>
    <w:rsid w:val="00575949"/>
    <w:rsid w:val="005817E4"/>
    <w:rsid w:val="00594A2B"/>
    <w:rsid w:val="005B359A"/>
    <w:rsid w:val="005B4102"/>
    <w:rsid w:val="005C69C8"/>
    <w:rsid w:val="005C75C7"/>
    <w:rsid w:val="005E1FD5"/>
    <w:rsid w:val="005E5C07"/>
    <w:rsid w:val="005F5B05"/>
    <w:rsid w:val="006105C3"/>
    <w:rsid w:val="006128B6"/>
    <w:rsid w:val="00616E54"/>
    <w:rsid w:val="006206FF"/>
    <w:rsid w:val="00623514"/>
    <w:rsid w:val="00625C0A"/>
    <w:rsid w:val="00642CA3"/>
    <w:rsid w:val="0065269D"/>
    <w:rsid w:val="006552CE"/>
    <w:rsid w:val="00672FA2"/>
    <w:rsid w:val="00676D70"/>
    <w:rsid w:val="00682CF8"/>
    <w:rsid w:val="00697530"/>
    <w:rsid w:val="006A0374"/>
    <w:rsid w:val="006A0CF4"/>
    <w:rsid w:val="006B79E9"/>
    <w:rsid w:val="006D6098"/>
    <w:rsid w:val="006D672C"/>
    <w:rsid w:val="006E3D03"/>
    <w:rsid w:val="00703125"/>
    <w:rsid w:val="00714ABB"/>
    <w:rsid w:val="00715FE6"/>
    <w:rsid w:val="0071796D"/>
    <w:rsid w:val="00725B96"/>
    <w:rsid w:val="00757721"/>
    <w:rsid w:val="00762815"/>
    <w:rsid w:val="00766C29"/>
    <w:rsid w:val="007943F2"/>
    <w:rsid w:val="007B5381"/>
    <w:rsid w:val="007B65C2"/>
    <w:rsid w:val="007C17C3"/>
    <w:rsid w:val="007C707A"/>
    <w:rsid w:val="007D14FC"/>
    <w:rsid w:val="007E4E8A"/>
    <w:rsid w:val="00801713"/>
    <w:rsid w:val="00802579"/>
    <w:rsid w:val="00817E19"/>
    <w:rsid w:val="00833431"/>
    <w:rsid w:val="0083426A"/>
    <w:rsid w:val="00840C00"/>
    <w:rsid w:val="00850F58"/>
    <w:rsid w:val="00857657"/>
    <w:rsid w:val="008661F1"/>
    <w:rsid w:val="008744A9"/>
    <w:rsid w:val="00882862"/>
    <w:rsid w:val="008843BE"/>
    <w:rsid w:val="00884911"/>
    <w:rsid w:val="00890FA0"/>
    <w:rsid w:val="00896065"/>
    <w:rsid w:val="008B5481"/>
    <w:rsid w:val="008C0ADA"/>
    <w:rsid w:val="008C2E5A"/>
    <w:rsid w:val="008E20B0"/>
    <w:rsid w:val="008E2886"/>
    <w:rsid w:val="00904191"/>
    <w:rsid w:val="0092781B"/>
    <w:rsid w:val="009305E4"/>
    <w:rsid w:val="009366F1"/>
    <w:rsid w:val="00946220"/>
    <w:rsid w:val="00950DC1"/>
    <w:rsid w:val="00977687"/>
    <w:rsid w:val="009845E0"/>
    <w:rsid w:val="009936B9"/>
    <w:rsid w:val="00995A31"/>
    <w:rsid w:val="00996D48"/>
    <w:rsid w:val="009A4C25"/>
    <w:rsid w:val="009B2D06"/>
    <w:rsid w:val="009B457A"/>
    <w:rsid w:val="009C2D35"/>
    <w:rsid w:val="009C7645"/>
    <w:rsid w:val="009C7DD0"/>
    <w:rsid w:val="009D463B"/>
    <w:rsid w:val="009D613D"/>
    <w:rsid w:val="009E02D2"/>
    <w:rsid w:val="009E2D1B"/>
    <w:rsid w:val="009E405F"/>
    <w:rsid w:val="009E760B"/>
    <w:rsid w:val="00A00F66"/>
    <w:rsid w:val="00A0459A"/>
    <w:rsid w:val="00A05A29"/>
    <w:rsid w:val="00A063C7"/>
    <w:rsid w:val="00A07B02"/>
    <w:rsid w:val="00A1480D"/>
    <w:rsid w:val="00A20A3F"/>
    <w:rsid w:val="00A24D31"/>
    <w:rsid w:val="00A70390"/>
    <w:rsid w:val="00A77443"/>
    <w:rsid w:val="00A91C42"/>
    <w:rsid w:val="00A94BE0"/>
    <w:rsid w:val="00A94EFB"/>
    <w:rsid w:val="00AA4548"/>
    <w:rsid w:val="00AA5CAE"/>
    <w:rsid w:val="00AA6C98"/>
    <w:rsid w:val="00AB6135"/>
    <w:rsid w:val="00AC1FD1"/>
    <w:rsid w:val="00AE43FA"/>
    <w:rsid w:val="00AF3CAB"/>
    <w:rsid w:val="00AF49C8"/>
    <w:rsid w:val="00AF6A75"/>
    <w:rsid w:val="00B16B55"/>
    <w:rsid w:val="00B20366"/>
    <w:rsid w:val="00B23754"/>
    <w:rsid w:val="00B34EE6"/>
    <w:rsid w:val="00B41643"/>
    <w:rsid w:val="00B438AA"/>
    <w:rsid w:val="00B4734D"/>
    <w:rsid w:val="00B53044"/>
    <w:rsid w:val="00B53D6C"/>
    <w:rsid w:val="00B57AA1"/>
    <w:rsid w:val="00B64AB3"/>
    <w:rsid w:val="00B7008E"/>
    <w:rsid w:val="00B74D9E"/>
    <w:rsid w:val="00B97EA3"/>
    <w:rsid w:val="00BB02C5"/>
    <w:rsid w:val="00BB5146"/>
    <w:rsid w:val="00BC1C34"/>
    <w:rsid w:val="00BC2C19"/>
    <w:rsid w:val="00BC3656"/>
    <w:rsid w:val="00BC6FC1"/>
    <w:rsid w:val="00BF5745"/>
    <w:rsid w:val="00BF7CAD"/>
    <w:rsid w:val="00C02237"/>
    <w:rsid w:val="00C06FE8"/>
    <w:rsid w:val="00C17020"/>
    <w:rsid w:val="00C20992"/>
    <w:rsid w:val="00C276AC"/>
    <w:rsid w:val="00C32FE8"/>
    <w:rsid w:val="00C3607D"/>
    <w:rsid w:val="00C3792F"/>
    <w:rsid w:val="00C50BAA"/>
    <w:rsid w:val="00C51631"/>
    <w:rsid w:val="00C57C40"/>
    <w:rsid w:val="00C64E37"/>
    <w:rsid w:val="00C65C30"/>
    <w:rsid w:val="00C71901"/>
    <w:rsid w:val="00C8134E"/>
    <w:rsid w:val="00C9726D"/>
    <w:rsid w:val="00CA581D"/>
    <w:rsid w:val="00CB220B"/>
    <w:rsid w:val="00CC53FC"/>
    <w:rsid w:val="00CC7B7B"/>
    <w:rsid w:val="00CD1921"/>
    <w:rsid w:val="00CD52C6"/>
    <w:rsid w:val="00CE1D78"/>
    <w:rsid w:val="00CE6A48"/>
    <w:rsid w:val="00CF090C"/>
    <w:rsid w:val="00CF0C15"/>
    <w:rsid w:val="00CF5743"/>
    <w:rsid w:val="00D0065B"/>
    <w:rsid w:val="00D07714"/>
    <w:rsid w:val="00D11E84"/>
    <w:rsid w:val="00D16649"/>
    <w:rsid w:val="00D20B49"/>
    <w:rsid w:val="00D226A9"/>
    <w:rsid w:val="00D31BD9"/>
    <w:rsid w:val="00D455FC"/>
    <w:rsid w:val="00D512B4"/>
    <w:rsid w:val="00D53374"/>
    <w:rsid w:val="00D7697C"/>
    <w:rsid w:val="00D862F0"/>
    <w:rsid w:val="00DA01FE"/>
    <w:rsid w:val="00DB2E4A"/>
    <w:rsid w:val="00DD102E"/>
    <w:rsid w:val="00DD3273"/>
    <w:rsid w:val="00DD3408"/>
    <w:rsid w:val="00DD7787"/>
    <w:rsid w:val="00DE222C"/>
    <w:rsid w:val="00DE2892"/>
    <w:rsid w:val="00DE53DB"/>
    <w:rsid w:val="00DF3E51"/>
    <w:rsid w:val="00E02537"/>
    <w:rsid w:val="00E07CF2"/>
    <w:rsid w:val="00E10861"/>
    <w:rsid w:val="00E13BCD"/>
    <w:rsid w:val="00E21F9C"/>
    <w:rsid w:val="00E259AE"/>
    <w:rsid w:val="00E55C0F"/>
    <w:rsid w:val="00E675AF"/>
    <w:rsid w:val="00E71736"/>
    <w:rsid w:val="00E82DC8"/>
    <w:rsid w:val="00E8643B"/>
    <w:rsid w:val="00E954A3"/>
    <w:rsid w:val="00EC29C5"/>
    <w:rsid w:val="00EC3AC6"/>
    <w:rsid w:val="00ED08F7"/>
    <w:rsid w:val="00ED58E4"/>
    <w:rsid w:val="00ED61A0"/>
    <w:rsid w:val="00EF0249"/>
    <w:rsid w:val="00F23C6B"/>
    <w:rsid w:val="00F249F1"/>
    <w:rsid w:val="00F62529"/>
    <w:rsid w:val="00F66115"/>
    <w:rsid w:val="00F74AA3"/>
    <w:rsid w:val="00F801AA"/>
    <w:rsid w:val="00F81641"/>
    <w:rsid w:val="00F87570"/>
    <w:rsid w:val="00FA4674"/>
    <w:rsid w:val="00FB768C"/>
    <w:rsid w:val="00FC1A2F"/>
    <w:rsid w:val="00FD5144"/>
    <w:rsid w:val="00FF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1DCAA60-40F8-48C0-A62E-5FF307D5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5C7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5C7"/>
    <w:pPr>
      <w:ind w:left="720"/>
    </w:pPr>
  </w:style>
  <w:style w:type="character" w:customStyle="1" w:styleId="shorttext">
    <w:name w:val="short_text"/>
    <w:basedOn w:val="a0"/>
    <w:rsid w:val="00A94EFB"/>
  </w:style>
  <w:style w:type="character" w:customStyle="1" w:styleId="alt-edited">
    <w:name w:val="alt-edited"/>
    <w:basedOn w:val="a0"/>
    <w:rsid w:val="00CB220B"/>
  </w:style>
  <w:style w:type="paragraph" w:styleId="a4">
    <w:name w:val="footnote text"/>
    <w:basedOn w:val="a"/>
    <w:link w:val="a5"/>
    <w:uiPriority w:val="99"/>
    <w:semiHidden/>
    <w:unhideWhenUsed/>
    <w:rsid w:val="00F66115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66115"/>
    <w:rPr>
      <w:rFonts w:ascii="Times New Roman" w:hAnsi="Times New Roman" w:cs="Times New Roman"/>
      <w:sz w:val="20"/>
      <w:szCs w:val="20"/>
      <w:lang w:eastAsia="uk-UA"/>
    </w:rPr>
  </w:style>
  <w:style w:type="character" w:styleId="a6">
    <w:name w:val="footnote reference"/>
    <w:basedOn w:val="a0"/>
    <w:uiPriority w:val="99"/>
    <w:semiHidden/>
    <w:unhideWhenUsed/>
    <w:rsid w:val="00F66115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969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9691B"/>
    <w:rPr>
      <w:rFonts w:ascii="Times New Roman" w:hAnsi="Times New Roman" w:cs="Times New Roman"/>
      <w:sz w:val="24"/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0969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691B"/>
    <w:rPr>
      <w:rFonts w:ascii="Times New Roman" w:hAnsi="Times New Roman" w:cs="Times New Roman"/>
      <w:sz w:val="24"/>
      <w:szCs w:val="24"/>
      <w:lang w:eastAsia="uk-UA"/>
    </w:rPr>
  </w:style>
  <w:style w:type="character" w:styleId="ab">
    <w:name w:val="Hyperlink"/>
    <w:basedOn w:val="a0"/>
    <w:uiPriority w:val="99"/>
    <w:unhideWhenUsed/>
    <w:rsid w:val="00B16B55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F27C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27C2"/>
    <w:rPr>
      <w:rFonts w:ascii="Segoe UI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8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7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1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aib.com.ua/about_uaib/partners/cee_initiativ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0659B-26E6-4FA4-B5D3-D73BDC365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5314</Words>
  <Characters>3030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gavrylyuk</dc:creator>
  <cp:keywords/>
  <dc:description/>
  <cp:lastModifiedBy>gavrylyuk</cp:lastModifiedBy>
  <cp:revision>4</cp:revision>
  <cp:lastPrinted>2018-04-17T12:09:00Z</cp:lastPrinted>
  <dcterms:created xsi:type="dcterms:W3CDTF">2018-04-17T12:15:00Z</dcterms:created>
  <dcterms:modified xsi:type="dcterms:W3CDTF">2018-04-17T12:42:00Z</dcterms:modified>
</cp:coreProperties>
</file>