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20" w:rsidRPr="00A5622F" w:rsidRDefault="00F95320" w:rsidP="00F95320">
      <w:pPr>
        <w:spacing w:after="0"/>
        <w:jc w:val="center"/>
        <w:rPr>
          <w:rFonts w:ascii="Times New Roman" w:hAnsi="Times New Roman" w:cs="Times New Roman"/>
          <w:b/>
          <w:sz w:val="28"/>
          <w:szCs w:val="28"/>
        </w:rPr>
      </w:pPr>
      <w:r w:rsidRPr="00A5622F">
        <w:rPr>
          <w:rFonts w:ascii="Times New Roman" w:hAnsi="Times New Roman" w:cs="Times New Roman"/>
          <w:b/>
          <w:sz w:val="28"/>
          <w:szCs w:val="28"/>
        </w:rPr>
        <w:t>Порівняльна таблиця до</w:t>
      </w:r>
      <w:r w:rsidR="0098688E">
        <w:rPr>
          <w:rFonts w:ascii="Times New Roman" w:hAnsi="Times New Roman" w:cs="Times New Roman"/>
          <w:b/>
          <w:sz w:val="28"/>
          <w:szCs w:val="28"/>
        </w:rPr>
        <w:t xml:space="preserve"> проєкту з</w:t>
      </w:r>
      <w:r w:rsidRPr="00A5622F">
        <w:rPr>
          <w:rFonts w:ascii="Times New Roman" w:hAnsi="Times New Roman" w:cs="Times New Roman"/>
          <w:b/>
          <w:sz w:val="28"/>
          <w:szCs w:val="28"/>
        </w:rPr>
        <w:t xml:space="preserve">мін до Положення щодо пруденційних нормативів професійної діяльності </w:t>
      </w:r>
    </w:p>
    <w:p w:rsidR="00F95320" w:rsidRPr="00A5622F" w:rsidRDefault="00F95320" w:rsidP="00F95320">
      <w:pPr>
        <w:spacing w:after="0"/>
        <w:jc w:val="center"/>
        <w:rPr>
          <w:rFonts w:ascii="Times New Roman" w:hAnsi="Times New Roman" w:cs="Times New Roman"/>
          <w:b/>
          <w:sz w:val="28"/>
          <w:szCs w:val="28"/>
        </w:rPr>
      </w:pPr>
      <w:r w:rsidRPr="00A5622F">
        <w:rPr>
          <w:rFonts w:ascii="Times New Roman" w:hAnsi="Times New Roman" w:cs="Times New Roman"/>
          <w:b/>
          <w:sz w:val="28"/>
          <w:szCs w:val="28"/>
        </w:rPr>
        <w:t>на фондовому ринку та вимог до системи управління ризиками</w:t>
      </w:r>
    </w:p>
    <w:p w:rsidR="00F95320" w:rsidRPr="00A5622F" w:rsidRDefault="00F95320" w:rsidP="00F95320">
      <w:pPr>
        <w:spacing w:after="0"/>
        <w:jc w:val="center"/>
        <w:rPr>
          <w:rFonts w:ascii="Times New Roman" w:hAnsi="Times New Roman" w:cs="Times New Roman"/>
          <w:b/>
          <w:sz w:val="28"/>
          <w:szCs w:val="28"/>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7"/>
        <w:gridCol w:w="4945"/>
        <w:gridCol w:w="5405"/>
      </w:tblGrid>
      <w:tr w:rsidR="001A33D5" w:rsidRPr="00A5622F" w:rsidTr="00F45C1F">
        <w:trPr>
          <w:trHeight w:val="445"/>
        </w:trPr>
        <w:tc>
          <w:tcPr>
            <w:tcW w:w="5527" w:type="dxa"/>
          </w:tcPr>
          <w:p w:rsidR="001A33D5" w:rsidRPr="00A5622F" w:rsidRDefault="001A33D5" w:rsidP="00B41EF0">
            <w:pPr>
              <w:spacing w:after="0"/>
              <w:jc w:val="center"/>
              <w:rPr>
                <w:rFonts w:ascii="Times New Roman" w:hAnsi="Times New Roman" w:cs="Times New Roman"/>
                <w:b/>
                <w:sz w:val="24"/>
                <w:szCs w:val="24"/>
              </w:rPr>
            </w:pPr>
            <w:r w:rsidRPr="00A5622F">
              <w:rPr>
                <w:rFonts w:ascii="Times New Roman" w:hAnsi="Times New Roman" w:cs="Times New Roman"/>
                <w:b/>
                <w:sz w:val="24"/>
                <w:szCs w:val="24"/>
              </w:rPr>
              <w:t>Редакція зі змінами</w:t>
            </w:r>
            <w:r>
              <w:rPr>
                <w:rFonts w:ascii="Times New Roman" w:hAnsi="Times New Roman" w:cs="Times New Roman"/>
                <w:b/>
                <w:sz w:val="24"/>
                <w:szCs w:val="24"/>
              </w:rPr>
              <w:t xml:space="preserve"> </w:t>
            </w:r>
            <w:r w:rsidR="00B41EF0">
              <w:rPr>
                <w:rFonts w:ascii="Times New Roman" w:hAnsi="Times New Roman" w:cs="Times New Roman"/>
                <w:b/>
                <w:sz w:val="24"/>
                <w:szCs w:val="24"/>
              </w:rPr>
              <w:t>НКЦПФР</w:t>
            </w:r>
            <w:r>
              <w:rPr>
                <w:rFonts w:ascii="Times New Roman" w:hAnsi="Times New Roman" w:cs="Times New Roman"/>
                <w:b/>
                <w:sz w:val="24"/>
                <w:szCs w:val="24"/>
              </w:rPr>
              <w:t xml:space="preserve"> від 15.07.2021</w:t>
            </w:r>
          </w:p>
        </w:tc>
        <w:tc>
          <w:tcPr>
            <w:tcW w:w="4945" w:type="dxa"/>
          </w:tcPr>
          <w:p w:rsidR="001A33D5" w:rsidRPr="00A5622F" w:rsidRDefault="00F45C1F" w:rsidP="00F95320">
            <w:pPr>
              <w:spacing w:after="0"/>
              <w:jc w:val="center"/>
              <w:rPr>
                <w:rFonts w:ascii="Times New Roman" w:hAnsi="Times New Roman" w:cs="Times New Roman"/>
                <w:b/>
                <w:sz w:val="24"/>
                <w:szCs w:val="24"/>
              </w:rPr>
            </w:pPr>
            <w:r>
              <w:rPr>
                <w:rFonts w:ascii="Times New Roman" w:hAnsi="Times New Roman" w:cs="Times New Roman"/>
                <w:b/>
                <w:sz w:val="24"/>
                <w:szCs w:val="24"/>
              </w:rPr>
              <w:t>З</w:t>
            </w:r>
            <w:r w:rsidRPr="00C6231B">
              <w:rPr>
                <w:rFonts w:ascii="Times New Roman" w:hAnsi="Times New Roman" w:cs="Times New Roman"/>
                <w:b/>
                <w:sz w:val="24"/>
                <w:szCs w:val="24"/>
              </w:rPr>
              <w:t>ауваженняУАІБ</w:t>
            </w:r>
          </w:p>
        </w:tc>
        <w:tc>
          <w:tcPr>
            <w:tcW w:w="5405" w:type="dxa"/>
          </w:tcPr>
          <w:p w:rsidR="001A33D5" w:rsidRPr="00A5622F" w:rsidRDefault="00F45C1F" w:rsidP="00F95320">
            <w:pPr>
              <w:spacing w:after="0"/>
              <w:jc w:val="center"/>
              <w:rPr>
                <w:rFonts w:ascii="Times New Roman" w:hAnsi="Times New Roman" w:cs="Times New Roman"/>
                <w:b/>
                <w:sz w:val="24"/>
                <w:szCs w:val="24"/>
              </w:rPr>
            </w:pPr>
            <w:r w:rsidRPr="00A5622F">
              <w:rPr>
                <w:rFonts w:ascii="Times New Roman" w:hAnsi="Times New Roman" w:cs="Times New Roman"/>
                <w:b/>
                <w:sz w:val="24"/>
                <w:szCs w:val="24"/>
              </w:rPr>
              <w:t xml:space="preserve">Редакція </w:t>
            </w:r>
            <w:r w:rsidRPr="00C6231B">
              <w:rPr>
                <w:rFonts w:ascii="Times New Roman" w:hAnsi="Times New Roman" w:cs="Times New Roman"/>
                <w:b/>
                <w:sz w:val="24"/>
                <w:szCs w:val="24"/>
              </w:rPr>
              <w:t>УАІБ</w:t>
            </w:r>
            <w:r>
              <w:rPr>
                <w:rFonts w:ascii="Times New Roman" w:hAnsi="Times New Roman" w:cs="Times New Roman"/>
                <w:b/>
                <w:sz w:val="24"/>
                <w:szCs w:val="24"/>
              </w:rPr>
              <w:t xml:space="preserve"> зі змінами</w:t>
            </w:r>
          </w:p>
        </w:tc>
      </w:tr>
      <w:tr w:rsidR="001A33D5" w:rsidRPr="00A5622F" w:rsidTr="0018386F">
        <w:trPr>
          <w:trHeight w:val="1121"/>
        </w:trPr>
        <w:tc>
          <w:tcPr>
            <w:tcW w:w="5527" w:type="dxa"/>
          </w:tcPr>
          <w:p w:rsidR="001A33D5" w:rsidRPr="002A615E" w:rsidRDefault="001A33D5" w:rsidP="002A615E">
            <w:pPr>
              <w:shd w:val="clear" w:color="auto" w:fill="FFFFFF"/>
              <w:spacing w:before="120" w:after="0" w:line="240" w:lineRule="auto"/>
              <w:ind w:left="450" w:right="450"/>
              <w:jc w:val="center"/>
              <w:rPr>
                <w:rFonts w:ascii="Times New Roman" w:eastAsia="Times New Roman" w:hAnsi="Times New Roman" w:cs="Times New Roman"/>
                <w:sz w:val="24"/>
                <w:szCs w:val="24"/>
                <w:lang w:eastAsia="uk-UA"/>
              </w:rPr>
            </w:pPr>
            <w:r w:rsidRPr="00A5622F">
              <w:rPr>
                <w:rFonts w:ascii="Times New Roman" w:eastAsia="Times New Roman" w:hAnsi="Times New Roman" w:cs="Times New Roman"/>
                <w:b/>
                <w:bCs/>
                <w:sz w:val="24"/>
                <w:szCs w:val="24"/>
                <w:lang w:eastAsia="uk-UA"/>
              </w:rPr>
              <w:t>ПОЛОЖЕННЯ</w:t>
            </w:r>
            <w:r w:rsidRPr="00A5622F">
              <w:rPr>
                <w:rFonts w:ascii="Times New Roman" w:eastAsia="Times New Roman" w:hAnsi="Times New Roman" w:cs="Times New Roman"/>
                <w:sz w:val="24"/>
                <w:szCs w:val="24"/>
                <w:lang w:eastAsia="uk-UA"/>
              </w:rPr>
              <w:br/>
            </w:r>
            <w:r w:rsidRPr="00A5622F">
              <w:rPr>
                <w:rFonts w:ascii="Times New Roman" w:eastAsia="Times New Roman" w:hAnsi="Times New Roman" w:cs="Times New Roman"/>
                <w:b/>
                <w:bCs/>
                <w:sz w:val="24"/>
                <w:szCs w:val="24"/>
                <w:lang w:eastAsia="uk-UA"/>
              </w:rPr>
              <w:t xml:space="preserve">щодо пруденційних нормативів професійної діяльності на </w:t>
            </w:r>
            <w:r w:rsidRPr="009055B2">
              <w:rPr>
                <w:rFonts w:ascii="Times New Roman" w:eastAsia="Times New Roman" w:hAnsi="Times New Roman" w:cs="Times New Roman"/>
                <w:b/>
                <w:bCs/>
                <w:sz w:val="24"/>
                <w:szCs w:val="24"/>
                <w:lang w:eastAsia="uk-UA"/>
              </w:rPr>
              <w:t>ринках капіталу та організованих товарних ринках</w:t>
            </w:r>
          </w:p>
          <w:p w:rsidR="001A33D5" w:rsidRPr="00A5622F" w:rsidRDefault="001A33D5" w:rsidP="00645A27">
            <w:pPr>
              <w:shd w:val="clear" w:color="auto" w:fill="FFFFFF"/>
              <w:spacing w:after="0" w:line="240" w:lineRule="auto"/>
              <w:ind w:firstLine="450"/>
              <w:jc w:val="both"/>
              <w:rPr>
                <w:sz w:val="24"/>
                <w:szCs w:val="24"/>
              </w:rPr>
            </w:pPr>
          </w:p>
        </w:tc>
        <w:tc>
          <w:tcPr>
            <w:tcW w:w="4945" w:type="dxa"/>
          </w:tcPr>
          <w:p w:rsidR="001A33D5" w:rsidRPr="00A5622F" w:rsidRDefault="001A33D5" w:rsidP="002C77DA">
            <w:pPr>
              <w:shd w:val="clear" w:color="auto" w:fill="FFFFFF"/>
              <w:spacing w:before="120" w:after="0" w:line="240" w:lineRule="auto"/>
              <w:ind w:left="450" w:right="450"/>
              <w:jc w:val="center"/>
              <w:rPr>
                <w:rFonts w:ascii="Times New Roman" w:eastAsia="Times New Roman" w:hAnsi="Times New Roman" w:cs="Times New Roman"/>
                <w:b/>
                <w:bCs/>
                <w:sz w:val="24"/>
                <w:szCs w:val="24"/>
                <w:lang w:eastAsia="uk-UA"/>
              </w:rPr>
            </w:pPr>
          </w:p>
        </w:tc>
        <w:tc>
          <w:tcPr>
            <w:tcW w:w="5405" w:type="dxa"/>
          </w:tcPr>
          <w:p w:rsidR="001A33D5" w:rsidRPr="00A5622F" w:rsidRDefault="001A33D5" w:rsidP="001A33D5">
            <w:pPr>
              <w:shd w:val="clear" w:color="auto" w:fill="FFFFFF"/>
              <w:spacing w:before="120" w:after="0" w:line="240" w:lineRule="auto"/>
              <w:ind w:right="-108" w:firstLine="477"/>
              <w:jc w:val="center"/>
              <w:rPr>
                <w:rFonts w:ascii="Times New Roman" w:eastAsia="Times New Roman" w:hAnsi="Times New Roman" w:cs="Times New Roman"/>
                <w:b/>
                <w:bCs/>
                <w:sz w:val="24"/>
                <w:szCs w:val="24"/>
                <w:lang w:eastAsia="uk-UA"/>
              </w:rPr>
            </w:pPr>
          </w:p>
        </w:tc>
      </w:tr>
      <w:tr w:rsidR="001A33D5" w:rsidRPr="00A5622F" w:rsidTr="0018386F">
        <w:trPr>
          <w:trHeight w:val="554"/>
        </w:trPr>
        <w:tc>
          <w:tcPr>
            <w:tcW w:w="5527" w:type="dxa"/>
          </w:tcPr>
          <w:p w:rsidR="001A33D5" w:rsidRPr="00A5622F" w:rsidRDefault="001A33D5" w:rsidP="00470439">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r w:rsidRPr="009055B2">
              <w:rPr>
                <w:rFonts w:ascii="Times New Roman" w:eastAsia="Times New Roman" w:hAnsi="Times New Roman" w:cs="Times New Roman"/>
                <w:b/>
                <w:bCs/>
                <w:sz w:val="24"/>
                <w:szCs w:val="24"/>
                <w:lang w:eastAsia="uk-UA"/>
              </w:rPr>
              <w:t>II</w:t>
            </w:r>
            <w:r w:rsidRPr="00A5622F">
              <w:rPr>
                <w:rFonts w:ascii="Times New Roman" w:eastAsia="Times New Roman" w:hAnsi="Times New Roman" w:cs="Times New Roman"/>
                <w:b/>
                <w:bCs/>
                <w:sz w:val="24"/>
                <w:szCs w:val="24"/>
                <w:lang w:eastAsia="uk-UA"/>
              </w:rPr>
              <w:t xml:space="preserve">. Пруденційні нормативи, що використовуються для вимірювання та оцінки ризиків діяльності з торгівлі </w:t>
            </w:r>
            <w:r w:rsidRPr="009055B2">
              <w:rPr>
                <w:rFonts w:ascii="Times New Roman" w:eastAsia="Times New Roman" w:hAnsi="Times New Roman" w:cs="Times New Roman"/>
                <w:b/>
                <w:bCs/>
                <w:sz w:val="24"/>
                <w:szCs w:val="24"/>
                <w:lang w:eastAsia="uk-UA"/>
              </w:rPr>
              <w:t>фінансовими інструментами</w:t>
            </w:r>
            <w:r w:rsidRPr="00A5622F">
              <w:rPr>
                <w:rFonts w:ascii="Times New Roman" w:eastAsia="Times New Roman" w:hAnsi="Times New Roman" w:cs="Times New Roman"/>
                <w:b/>
                <w:bCs/>
                <w:sz w:val="24"/>
                <w:szCs w:val="24"/>
                <w:lang w:eastAsia="uk-UA"/>
              </w:rPr>
              <w:t>, їх розрахунок та нормативні значення</w:t>
            </w:r>
          </w:p>
          <w:p w:rsidR="001A33D5" w:rsidRPr="00CF22CC" w:rsidRDefault="001A33D5" w:rsidP="00C92011">
            <w:pPr>
              <w:spacing w:after="0"/>
              <w:ind w:firstLine="360"/>
              <w:jc w:val="both"/>
              <w:rPr>
                <w:rFonts w:ascii="Times New Roman" w:eastAsia="Times New Roman" w:hAnsi="Times New Roman" w:cs="Times New Roman"/>
                <w:b/>
                <w:bCs/>
                <w:sz w:val="24"/>
                <w:szCs w:val="24"/>
                <w:lang w:eastAsia="uk-UA"/>
              </w:rPr>
            </w:pPr>
          </w:p>
        </w:tc>
        <w:tc>
          <w:tcPr>
            <w:tcW w:w="4945" w:type="dxa"/>
          </w:tcPr>
          <w:p w:rsidR="001A33D5" w:rsidRPr="009055B2" w:rsidRDefault="001A33D5"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tc>
        <w:tc>
          <w:tcPr>
            <w:tcW w:w="5405" w:type="dxa"/>
          </w:tcPr>
          <w:p w:rsidR="001A33D5" w:rsidRPr="009055B2" w:rsidRDefault="001A33D5"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tc>
      </w:tr>
      <w:tr w:rsidR="001A33D5" w:rsidRPr="00EB1DD8" w:rsidTr="0018386F">
        <w:trPr>
          <w:trHeight w:val="557"/>
        </w:trPr>
        <w:tc>
          <w:tcPr>
            <w:tcW w:w="5527" w:type="dxa"/>
          </w:tcPr>
          <w:p w:rsidR="001A33D5" w:rsidRPr="00EB1DD8" w:rsidRDefault="001A33D5"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2. Розмір регулятивного капіталу</w:t>
            </w:r>
          </w:p>
          <w:p w:rsidR="001A33D5" w:rsidRPr="00EB1DD8" w:rsidRDefault="001A33D5" w:rsidP="001F0AB4">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Регулятивний капітал - капітал, який установа може використовувати на покриття негативних фінансових наслідків реалізації ризиків, що виникають при провадженні нею професійної діяльності на </w:t>
            </w:r>
            <w:r w:rsidRPr="00EB1DD8">
              <w:rPr>
                <w:rFonts w:ascii="Times New Roman" w:hAnsi="Times New Roman" w:cs="Times New Roman"/>
                <w:b/>
                <w:sz w:val="24"/>
                <w:szCs w:val="24"/>
              </w:rPr>
              <w:t>ринках капіталу та організованих товарних ринках</w:t>
            </w:r>
            <w:r w:rsidRPr="00EB1DD8">
              <w:rPr>
                <w:rFonts w:ascii="Times New Roman" w:eastAsia="Times New Roman" w:hAnsi="Times New Roman" w:cs="Times New Roman"/>
                <w:sz w:val="24"/>
                <w:szCs w:val="24"/>
                <w:lang w:eastAsia="uk-UA"/>
              </w:rPr>
              <w:t>.</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Регулятивний капітал складається з капіталу першого рівня та капіталу другого рівня.</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Капітал першого рівня розраховується як сума складових, визначених пунктом 4 цієї глави, зменшена на суму вирахувань, визначених </w:t>
            </w:r>
            <w:hyperlink r:id="rId8" w:anchor="n496" w:history="1">
              <w:r w:rsidRPr="00EB1DD8">
                <w:rPr>
                  <w:rFonts w:ascii="Times New Roman" w:eastAsia="Times New Roman" w:hAnsi="Times New Roman" w:cs="Times New Roman"/>
                  <w:sz w:val="24"/>
                  <w:szCs w:val="24"/>
                  <w:lang w:eastAsia="uk-UA"/>
                </w:rPr>
                <w:t>пунктом 5</w:t>
              </w:r>
            </w:hyperlink>
            <w:r w:rsidRPr="00EB1DD8">
              <w:rPr>
                <w:rFonts w:ascii="Times New Roman" w:eastAsia="Times New Roman" w:hAnsi="Times New Roman" w:cs="Times New Roman"/>
                <w:sz w:val="24"/>
                <w:szCs w:val="24"/>
                <w:lang w:eastAsia="uk-UA"/>
              </w:rPr>
              <w:t> цієї глави.</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4. Капітал першого рівня включає:</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зареєстрований статутний капітал;</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резервний капітал (сума резервів, створених відповідно до законодавства або установчих документів за рахунок нерозподіленого прибутку);</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додатковий капітал;</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4) нерозподілений прибуток на початок звітного року (включається до капіталу першого рівня після підтвердження його розміру аудитором (аудиторською фірмою); до такого підтвердження </w:t>
            </w:r>
            <w:r w:rsidRPr="00EB1DD8">
              <w:rPr>
                <w:rFonts w:ascii="Times New Roman" w:eastAsia="Times New Roman" w:hAnsi="Times New Roman" w:cs="Times New Roman"/>
                <w:b/>
                <w:sz w:val="24"/>
                <w:szCs w:val="24"/>
                <w:lang w:eastAsia="uk-UA"/>
              </w:rPr>
              <w:t>слід</w:t>
            </w:r>
            <w:r w:rsidRPr="00EB1DD8">
              <w:rPr>
                <w:rFonts w:ascii="Times New Roman" w:eastAsia="Times New Roman" w:hAnsi="Times New Roman" w:cs="Times New Roman"/>
                <w:sz w:val="24"/>
                <w:szCs w:val="24"/>
                <w:lang w:eastAsia="uk-UA"/>
              </w:rPr>
              <w:t xml:space="preserve"> включати до капіталу першого рівня нерозподілений прибуток на початок попереднього року, підтверджений аудитором (аудиторською фірмою), за вирахуванням прибутку, що був розподілений у попередньому році, та збитків попереднього року). Датою, з якої підтверджений аудитором нерозподілений прибуток на початок звітного року може включатись до складу капіталу першого рівня, є дата звіту аудитора;</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5) 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Використання підтвердженого аудитором прибутку поточного року для розрахунку капіталу першого рівня допускається протягом не більше трьох місяців з дати, станом на яку здійснено таке підтвердження. Датою, з якої підтверджений аудитором прибуток поточного року може включатись до складу капіталу першого рівня, є дата звіту аудитора (копія відповідного звіту аудитора подається до Комісії у паперовому вигляді </w:t>
            </w:r>
            <w:r w:rsidRPr="00EB1DD8">
              <w:rPr>
                <w:rFonts w:ascii="Times New Roman" w:eastAsia="Times New Roman" w:hAnsi="Times New Roman" w:cs="Times New Roman"/>
                <w:sz w:val="24"/>
                <w:szCs w:val="24"/>
                <w:lang w:eastAsia="uk-UA"/>
              </w:rPr>
              <w:lastRenderedPageBreak/>
              <w:t>у строки, передбачені для подання інформації про результати та дані щодо розрахунку пруденційних нормативів до Комісії).</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5. Розмір капіталу першого рівня зменшується на суму (у тому числі на суму активів з наведеного переліку, що класифіковані як утримувані для продажу):</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неоплаченого статутного капіталу;</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вилученого статутного капіталу;</w:t>
            </w:r>
          </w:p>
          <w:p w:rsidR="001A33D5" w:rsidRPr="00EB1DD8" w:rsidRDefault="001A33D5" w:rsidP="00F12EAC">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простроченої понад 30 днів дебіторської заборгованості;</w:t>
            </w:r>
          </w:p>
          <w:p w:rsidR="001A33D5" w:rsidRPr="00EB1DD8" w:rsidRDefault="001A33D5" w:rsidP="00F12EAC">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довгострокової дебіторської заборгованості, в тому числі пролонгованої, термін сплати якої не настав;</w:t>
            </w:r>
          </w:p>
          <w:p w:rsidR="001A33D5" w:rsidRPr="00EB1DD8" w:rsidRDefault="001A33D5" w:rsidP="00F12EAC">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val="ru-RU" w:eastAsia="uk-UA"/>
              </w:rPr>
              <w:t>5</w:t>
            </w:r>
            <w:r w:rsidRPr="00EB1DD8">
              <w:rPr>
                <w:rFonts w:ascii="Times New Roman" w:eastAsia="Times New Roman" w:hAnsi="Times New Roman" w:cs="Times New Roman"/>
                <w:sz w:val="24"/>
                <w:szCs w:val="24"/>
                <w:lang w:eastAsia="uk-UA"/>
              </w:rPr>
              <w:t>) короткострокової дебіторської заборгованості, сумарний строк пролонгації якої перевищує 30 днів та термін сплати якої не настав;</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val="ru-RU" w:eastAsia="uk-UA"/>
              </w:rPr>
              <w:t>6</w:t>
            </w:r>
            <w:r w:rsidRPr="00EB1DD8">
              <w:rPr>
                <w:rFonts w:ascii="Times New Roman" w:eastAsia="Times New Roman" w:hAnsi="Times New Roman" w:cs="Times New Roman"/>
                <w:sz w:val="24"/>
                <w:szCs w:val="24"/>
                <w:lang w:eastAsia="uk-UA"/>
              </w:rPr>
              <w:t xml:space="preserve">) </w:t>
            </w:r>
            <w:r w:rsidRPr="00EB1DD8">
              <w:rPr>
                <w:rFonts w:ascii="Times New Roman" w:eastAsia="Times New Roman" w:hAnsi="Times New Roman" w:cs="Times New Roman"/>
                <w:b/>
                <w:sz w:val="24"/>
                <w:szCs w:val="24"/>
                <w:lang w:eastAsia="uk-UA"/>
              </w:rPr>
              <w:t>короткострокової дебіторської заборгованості</w:t>
            </w:r>
            <w:r w:rsidRPr="00EB1DD8">
              <w:rPr>
                <w:rFonts w:ascii="Times New Roman" w:eastAsia="Times New Roman" w:hAnsi="Times New Roman" w:cs="Times New Roman"/>
                <w:b/>
                <w:sz w:val="24"/>
                <w:szCs w:val="24"/>
                <w:lang w:val="ru-RU" w:eastAsia="uk-UA"/>
              </w:rPr>
              <w:t xml:space="preserve">, </w:t>
            </w:r>
            <w:r w:rsidRPr="00EB1DD8">
              <w:rPr>
                <w:rFonts w:ascii="Times New Roman" w:eastAsia="Times New Roman" w:hAnsi="Times New Roman" w:cs="Times New Roman"/>
                <w:b/>
                <w:sz w:val="24"/>
                <w:szCs w:val="24"/>
                <w:lang w:eastAsia="uk-UA"/>
              </w:rPr>
              <w:t>термін сплати якої не настав</w:t>
            </w:r>
            <w:r w:rsidRPr="00EB1DD8">
              <w:rPr>
                <w:rFonts w:ascii="Times New Roman" w:eastAsia="Times New Roman" w:hAnsi="Times New Roman" w:cs="Times New Roman"/>
                <w:b/>
                <w:sz w:val="24"/>
                <w:szCs w:val="24"/>
                <w:lang w:val="ru-RU" w:eastAsia="uk-UA"/>
              </w:rPr>
              <w:t xml:space="preserve">, </w:t>
            </w:r>
            <w:r w:rsidRPr="00EB1DD8">
              <w:rPr>
                <w:rFonts w:ascii="Times New Roman" w:eastAsia="Times New Roman" w:hAnsi="Times New Roman" w:cs="Times New Roman"/>
                <w:b/>
                <w:sz w:val="24"/>
                <w:szCs w:val="24"/>
                <w:lang w:eastAsia="uk-UA"/>
              </w:rPr>
              <w:t xml:space="preserve">у разі, якщо загальна </w:t>
            </w:r>
            <w:r w:rsidRPr="00EB1DD8">
              <w:rPr>
                <w:rFonts w:ascii="Times New Roman" w:eastAsia="Times New Roman" w:hAnsi="Times New Roman" w:cs="Times New Roman"/>
                <w:b/>
                <w:sz w:val="24"/>
                <w:szCs w:val="24"/>
                <w:lang w:val="ru-RU" w:eastAsia="uk-UA"/>
              </w:rPr>
              <w:t xml:space="preserve">її </w:t>
            </w:r>
            <w:r w:rsidRPr="00EB1DD8">
              <w:rPr>
                <w:rFonts w:ascii="Times New Roman" w:eastAsia="Times New Roman" w:hAnsi="Times New Roman" w:cs="Times New Roman"/>
                <w:b/>
                <w:sz w:val="24"/>
                <w:szCs w:val="24"/>
                <w:lang w:eastAsia="uk-UA"/>
              </w:rPr>
              <w:t>сума</w:t>
            </w:r>
            <w:r w:rsidRPr="00EB1DD8">
              <w:rPr>
                <w:rFonts w:ascii="Times New Roman" w:eastAsia="Times New Roman" w:hAnsi="Times New Roman" w:cs="Times New Roman"/>
                <w:b/>
                <w:sz w:val="24"/>
                <w:szCs w:val="24"/>
                <w:lang w:val="ru-RU" w:eastAsia="uk-UA"/>
              </w:rPr>
              <w:t xml:space="preserve"> перевищує 25% мінімального розміру регулятивного</w:t>
            </w:r>
            <w:r w:rsidRPr="00EB1DD8">
              <w:rPr>
                <w:rFonts w:ascii="Times New Roman" w:eastAsia="Times New Roman" w:hAnsi="Times New Roman" w:cs="Times New Roman"/>
                <w:b/>
                <w:sz w:val="24"/>
                <w:szCs w:val="24"/>
                <w:lang w:eastAsia="uk-UA"/>
              </w:rPr>
              <w:t xml:space="preserve"> капіталу установи, у розмірі такого перевищення;</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val="ru-RU" w:eastAsia="uk-UA"/>
              </w:rPr>
              <w:t>7</w:t>
            </w:r>
            <w:r w:rsidRPr="00EB1DD8">
              <w:rPr>
                <w:rFonts w:ascii="Times New Roman" w:eastAsia="Times New Roman" w:hAnsi="Times New Roman" w:cs="Times New Roman"/>
                <w:sz w:val="24"/>
                <w:szCs w:val="24"/>
                <w:lang w:eastAsia="uk-UA"/>
              </w:rPr>
              <w:t>) нематеріальних активів за залишковою вартістю;</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val="ru-RU" w:eastAsia="uk-UA"/>
              </w:rPr>
              <w:t>8</w:t>
            </w:r>
            <w:r w:rsidRPr="00EB1DD8">
              <w:rPr>
                <w:rFonts w:ascii="Times New Roman" w:eastAsia="Times New Roman" w:hAnsi="Times New Roman" w:cs="Times New Roman"/>
                <w:sz w:val="24"/>
                <w:szCs w:val="24"/>
                <w:lang w:eastAsia="uk-UA"/>
              </w:rPr>
              <w:t>) капітальних вкладень у нематеріальні активи;</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val="ru-RU" w:eastAsia="uk-UA"/>
              </w:rPr>
              <w:t>9</w:t>
            </w:r>
            <w:r w:rsidRPr="00EB1DD8">
              <w:rPr>
                <w:rFonts w:ascii="Times New Roman" w:eastAsia="Times New Roman" w:hAnsi="Times New Roman" w:cs="Times New Roman"/>
                <w:sz w:val="24"/>
                <w:szCs w:val="24"/>
                <w:lang w:eastAsia="uk-UA"/>
              </w:rPr>
              <w:t>) прибутку на початок звітного року, що був розподілений у звітному році;</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hAnsi="Times New Roman" w:cs="Times New Roman"/>
                <w:b/>
                <w:bCs/>
                <w:color w:val="222222"/>
                <w:sz w:val="24"/>
                <w:szCs w:val="24"/>
                <w:lang w:val="ru-RU"/>
              </w:rPr>
              <w:lastRenderedPageBreak/>
              <w:t>10</w:t>
            </w:r>
            <w:r w:rsidRPr="00EB1DD8">
              <w:rPr>
                <w:rFonts w:ascii="Times New Roman" w:hAnsi="Times New Roman" w:cs="Times New Roman"/>
                <w:b/>
                <w:bCs/>
                <w:color w:val="222222"/>
                <w:sz w:val="24"/>
                <w:szCs w:val="24"/>
              </w:rPr>
              <w:t>) прибутку поточного року, підтвердженог</w:t>
            </w:r>
            <w:bookmarkStart w:id="0" w:name="_GoBack"/>
            <w:bookmarkEnd w:id="0"/>
            <w:r w:rsidRPr="00EB1DD8">
              <w:rPr>
                <w:rFonts w:ascii="Times New Roman" w:hAnsi="Times New Roman" w:cs="Times New Roman"/>
                <w:b/>
                <w:bCs/>
                <w:color w:val="222222"/>
                <w:sz w:val="24"/>
                <w:szCs w:val="24"/>
              </w:rPr>
              <w:t>о аудитором (аудиторською фірмою), що був розподілений у звітному році (у разі його включення до розрахунку);</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11</w:t>
            </w:r>
            <w:r w:rsidRPr="00EB1DD8">
              <w:rPr>
                <w:rFonts w:ascii="Times New Roman" w:eastAsia="Times New Roman" w:hAnsi="Times New Roman" w:cs="Times New Roman"/>
                <w:sz w:val="24"/>
                <w:szCs w:val="24"/>
                <w:lang w:eastAsia="uk-UA"/>
              </w:rPr>
              <w:t>) непокритого збитку на початок звітного року (якщо у році, що передує звітному, був отриманий прибуток, його включення до розрахунку капіталу першого рівня допускається після підтвердження його розміру аудитором (аудиторською фірмою); до такого підтвердження до капіталу першого рівня включається непокритий збиток на початок попереднього року, підтверджений аудитором (аудиторською фірмою));</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val="ru-RU" w:eastAsia="uk-UA"/>
              </w:rPr>
              <w:t>12</w:t>
            </w:r>
            <w:r w:rsidRPr="00EB1DD8">
              <w:rPr>
                <w:rFonts w:ascii="Times New Roman" w:eastAsia="Times New Roman" w:hAnsi="Times New Roman" w:cs="Times New Roman"/>
                <w:sz w:val="24"/>
                <w:szCs w:val="24"/>
                <w:lang w:eastAsia="uk-UA"/>
              </w:rPr>
              <w:t>) збитків поточного року (якщо фінансовим результатом є збиток);</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13</w:t>
            </w:r>
            <w:r w:rsidRPr="00EB1DD8">
              <w:rPr>
                <w:rFonts w:ascii="Times New Roman" w:eastAsia="Times New Roman" w:hAnsi="Times New Roman" w:cs="Times New Roman"/>
                <w:sz w:val="24"/>
                <w:szCs w:val="24"/>
                <w:lang w:eastAsia="uk-UA"/>
              </w:rPr>
              <w:t xml:space="preserve">) фінансових інвестицій у статутний капітал підприємств (крім приватних акціонерних товариств, акції яких </w:t>
            </w:r>
            <w:r w:rsidRPr="00EB1DD8">
              <w:rPr>
                <w:rFonts w:ascii="Times New Roman" w:eastAsia="Times New Roman" w:hAnsi="Times New Roman" w:cs="Times New Roman"/>
                <w:b/>
                <w:sz w:val="24"/>
                <w:szCs w:val="24"/>
                <w:lang w:eastAsia="uk-UA"/>
              </w:rPr>
              <w:t>допущені до торгів на</w:t>
            </w:r>
            <w:r w:rsidRPr="00EB1DD8">
              <w:rPr>
                <w:rFonts w:ascii="Times New Roman" w:eastAsia="Times New Roman" w:hAnsi="Times New Roman" w:cs="Times New Roman"/>
                <w:sz w:val="24"/>
                <w:szCs w:val="24"/>
                <w:lang w:eastAsia="uk-UA"/>
              </w:rPr>
              <w:t xml:space="preserve"> </w:t>
            </w:r>
            <w:r w:rsidRPr="00EB1DD8">
              <w:rPr>
                <w:rFonts w:ascii="Times New Roman" w:eastAsia="Times New Roman" w:hAnsi="Times New Roman" w:cs="Times New Roman"/>
                <w:b/>
                <w:sz w:val="24"/>
                <w:szCs w:val="24"/>
                <w:lang w:eastAsia="uk-UA"/>
              </w:rPr>
              <w:t>організованих ринках капіталу</w:t>
            </w:r>
            <w:r w:rsidRPr="00EB1DD8">
              <w:rPr>
                <w:rFonts w:ascii="Times New Roman" w:eastAsia="Times New Roman" w:hAnsi="Times New Roman" w:cs="Times New Roman"/>
                <w:sz w:val="24"/>
                <w:szCs w:val="24"/>
                <w:lang w:eastAsia="uk-UA"/>
              </w:rPr>
              <w:t>,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14</w:t>
            </w:r>
            <w:r w:rsidRPr="00EB1DD8">
              <w:rPr>
                <w:rFonts w:ascii="Times New Roman" w:eastAsia="Times New Roman" w:hAnsi="Times New Roman" w:cs="Times New Roman"/>
                <w:sz w:val="24"/>
                <w:szCs w:val="24"/>
                <w:lang w:eastAsia="uk-UA"/>
              </w:rPr>
              <w:t>) 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w:t>
            </w:r>
          </w:p>
          <w:p w:rsidR="002A615E" w:rsidRPr="00EB1DD8" w:rsidRDefault="002A615E" w:rsidP="000A3B80">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lastRenderedPageBreak/>
              <w:t>15</w:t>
            </w:r>
            <w:r w:rsidRPr="00EB1DD8">
              <w:rPr>
                <w:rFonts w:ascii="Times New Roman" w:eastAsia="Times New Roman" w:hAnsi="Times New Roman" w:cs="Times New Roman"/>
                <w:sz w:val="24"/>
                <w:szCs w:val="24"/>
                <w:lang w:eastAsia="uk-UA"/>
              </w:rPr>
              <w:t xml:space="preserve">) балансової вартості цінних паперів, заборона щодо торгівлі якими на </w:t>
            </w:r>
            <w:r w:rsidRPr="00EB1DD8">
              <w:rPr>
                <w:rFonts w:ascii="Times New Roman" w:eastAsia="Times New Roman" w:hAnsi="Times New Roman" w:cs="Times New Roman"/>
                <w:b/>
                <w:sz w:val="24"/>
                <w:szCs w:val="24"/>
                <w:lang w:eastAsia="uk-UA"/>
              </w:rPr>
              <w:t>організованих ринках капіталу</w:t>
            </w:r>
            <w:r w:rsidRPr="00EB1DD8">
              <w:rPr>
                <w:rFonts w:ascii="Times New Roman" w:eastAsia="Times New Roman" w:hAnsi="Times New Roman" w:cs="Times New Roman"/>
                <w:sz w:val="24"/>
                <w:szCs w:val="24"/>
                <w:lang w:eastAsia="uk-UA"/>
              </w:rPr>
              <w:t xml:space="preserve"> не встановлена законодавством України (крім акцій приватних акціонерних товариств), рішеннями Комісії або рішеннями суду, що не </w:t>
            </w:r>
            <w:r w:rsidRPr="00EB1DD8">
              <w:rPr>
                <w:rFonts w:ascii="Times New Roman" w:eastAsia="Times New Roman" w:hAnsi="Times New Roman" w:cs="Times New Roman"/>
                <w:b/>
                <w:sz w:val="24"/>
                <w:szCs w:val="24"/>
                <w:lang w:eastAsia="uk-UA"/>
              </w:rPr>
              <w:t>допущені до торгів на</w:t>
            </w:r>
            <w:r w:rsidRPr="00EB1DD8">
              <w:rPr>
                <w:rFonts w:ascii="Times New Roman" w:eastAsia="Times New Roman" w:hAnsi="Times New Roman" w:cs="Times New Roman"/>
                <w:sz w:val="24"/>
                <w:szCs w:val="24"/>
                <w:lang w:eastAsia="uk-UA"/>
              </w:rPr>
              <w:t xml:space="preserve"> принаймні </w:t>
            </w:r>
            <w:r w:rsidRPr="00EB1DD8">
              <w:rPr>
                <w:rFonts w:ascii="Times New Roman" w:eastAsia="Times New Roman" w:hAnsi="Times New Roman" w:cs="Times New Roman"/>
                <w:b/>
                <w:sz w:val="24"/>
                <w:szCs w:val="24"/>
                <w:lang w:eastAsia="uk-UA"/>
              </w:rPr>
              <w:t>одному</w:t>
            </w:r>
            <w:r w:rsidRPr="00EB1DD8">
              <w:rPr>
                <w:rFonts w:ascii="Times New Roman" w:eastAsia="Times New Roman" w:hAnsi="Times New Roman" w:cs="Times New Roman"/>
                <w:sz w:val="24"/>
                <w:szCs w:val="24"/>
                <w:lang w:eastAsia="uk-UA"/>
              </w:rPr>
              <w:t xml:space="preserve"> з </w:t>
            </w:r>
            <w:r w:rsidRPr="00EB1DD8">
              <w:rPr>
                <w:rFonts w:ascii="Times New Roman" w:eastAsia="Times New Roman" w:hAnsi="Times New Roman" w:cs="Times New Roman"/>
                <w:b/>
                <w:sz w:val="24"/>
                <w:szCs w:val="24"/>
                <w:lang w:eastAsia="uk-UA"/>
              </w:rPr>
              <w:t>організованих ринків капіталу</w:t>
            </w:r>
            <w:r w:rsidRPr="00EB1DD8">
              <w:rPr>
                <w:rFonts w:ascii="Times New Roman" w:eastAsia="Times New Roman" w:hAnsi="Times New Roman" w:cs="Times New Roman"/>
                <w:sz w:val="24"/>
                <w:szCs w:val="24"/>
                <w:lang w:eastAsia="uk-UA"/>
              </w:rPr>
              <w:t xml:space="preserve">,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w:t>
            </w:r>
            <w:r w:rsidRPr="00EB1DD8">
              <w:rPr>
                <w:rFonts w:ascii="Times New Roman" w:eastAsia="Times New Roman" w:hAnsi="Times New Roman" w:cs="Times New Roman"/>
                <w:b/>
                <w:sz w:val="24"/>
                <w:szCs w:val="24"/>
                <w:lang w:eastAsia="uk-UA"/>
              </w:rPr>
              <w:t>депозитних сертифікатів банків</w:t>
            </w:r>
            <w:r w:rsidRPr="00EB1DD8">
              <w:rPr>
                <w:rFonts w:ascii="Times New Roman" w:eastAsia="Times New Roman" w:hAnsi="Times New Roman" w:cs="Times New Roman"/>
                <w:sz w:val="24"/>
                <w:szCs w:val="24"/>
                <w:lang w:eastAsia="uk-UA"/>
              </w:rPr>
              <w:t>;</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16</w:t>
            </w:r>
            <w:r w:rsidRPr="00EB1DD8">
              <w:rPr>
                <w:rFonts w:ascii="Times New Roman" w:eastAsia="Times New Roman" w:hAnsi="Times New Roman" w:cs="Times New Roman"/>
                <w:sz w:val="24"/>
                <w:szCs w:val="24"/>
                <w:lang w:eastAsia="uk-UA"/>
              </w:rPr>
              <w:t xml:space="preserve">) балансової вартості цінних паперів, торгівля якими на </w:t>
            </w:r>
            <w:r w:rsidRPr="00EB1DD8">
              <w:rPr>
                <w:rFonts w:ascii="Times New Roman" w:eastAsia="Times New Roman" w:hAnsi="Times New Roman" w:cs="Times New Roman"/>
                <w:b/>
                <w:sz w:val="24"/>
                <w:szCs w:val="24"/>
                <w:lang w:eastAsia="uk-UA"/>
              </w:rPr>
              <w:t>організованих ринках капіталу</w:t>
            </w:r>
            <w:r w:rsidRPr="00EB1DD8">
              <w:rPr>
                <w:rFonts w:ascii="Times New Roman" w:eastAsia="Times New Roman" w:hAnsi="Times New Roman" w:cs="Times New Roman"/>
                <w:sz w:val="24"/>
                <w:szCs w:val="24"/>
                <w:lang w:eastAsia="uk-UA"/>
              </w:rPr>
              <w:t xml:space="preserve"> заборонена законодавством України (крім акцій приватних акціонерних товариств, які відповідно до законодавства України не можуть </w:t>
            </w:r>
            <w:r w:rsidRPr="00EB1DD8">
              <w:rPr>
                <w:rFonts w:ascii="Times New Roman" w:eastAsia="Times New Roman" w:hAnsi="Times New Roman" w:cs="Times New Roman"/>
                <w:b/>
                <w:sz w:val="24"/>
                <w:szCs w:val="24"/>
                <w:lang w:eastAsia="uk-UA"/>
              </w:rPr>
              <w:t>бути допущені до торгів на</w:t>
            </w:r>
            <w:r w:rsidRPr="00EB1DD8">
              <w:rPr>
                <w:rFonts w:ascii="Times New Roman" w:eastAsia="Times New Roman" w:hAnsi="Times New Roman" w:cs="Times New Roman"/>
                <w:sz w:val="24"/>
                <w:szCs w:val="24"/>
                <w:lang w:eastAsia="uk-UA"/>
              </w:rPr>
              <w:t xml:space="preserve"> </w:t>
            </w:r>
            <w:r w:rsidRPr="00EB1DD8">
              <w:rPr>
                <w:rFonts w:ascii="Times New Roman" w:eastAsia="Times New Roman" w:hAnsi="Times New Roman" w:cs="Times New Roman"/>
                <w:b/>
                <w:sz w:val="24"/>
                <w:szCs w:val="24"/>
                <w:lang w:eastAsia="uk-UA"/>
              </w:rPr>
              <w:t>організованих ринках капіталу</w:t>
            </w:r>
            <w:r w:rsidRPr="00EB1DD8">
              <w:rPr>
                <w:rFonts w:ascii="Times New Roman" w:eastAsia="Times New Roman" w:hAnsi="Times New Roman" w:cs="Times New Roman"/>
                <w:sz w:val="24"/>
                <w:szCs w:val="24"/>
                <w:lang w:eastAsia="uk-UA"/>
              </w:rPr>
              <w:t xml:space="preserve">,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w:t>
            </w:r>
            <w:r w:rsidRPr="00EB1DD8">
              <w:rPr>
                <w:rFonts w:ascii="Times New Roman" w:hAnsi="Times New Roman" w:cs="Times New Roman"/>
                <w:sz w:val="24"/>
                <w:szCs w:val="24"/>
              </w:rPr>
              <w:t>обіг яких</w:t>
            </w:r>
            <w:r w:rsidRPr="00EB1DD8">
              <w:rPr>
                <w:rFonts w:ascii="Times New Roman" w:hAnsi="Times New Roman" w:cs="Times New Roman"/>
                <w:b/>
                <w:sz w:val="24"/>
                <w:szCs w:val="24"/>
              </w:rPr>
              <w:t>/торгівлю якими</w:t>
            </w:r>
            <w:r w:rsidRPr="00EB1DD8">
              <w:rPr>
                <w:rFonts w:ascii="Times New Roman" w:hAnsi="Times New Roman" w:cs="Times New Roman"/>
                <w:sz w:val="24"/>
                <w:szCs w:val="24"/>
              </w:rPr>
              <w:t xml:space="preserve"> зупинено на підставі рішення суду, рішення Комісії </w:t>
            </w:r>
            <w:r w:rsidRPr="00EB1DD8">
              <w:rPr>
                <w:rFonts w:ascii="Times New Roman" w:hAnsi="Times New Roman" w:cs="Times New Roman"/>
                <w:sz w:val="24"/>
                <w:szCs w:val="24"/>
              </w:rPr>
              <w:lastRenderedPageBreak/>
              <w:t>або постанови</w:t>
            </w:r>
            <w:r w:rsidRPr="00EB1DD8">
              <w:rPr>
                <w:rFonts w:ascii="Times New Roman" w:hAnsi="Times New Roman" w:cs="Times New Roman"/>
                <w:b/>
                <w:sz w:val="24"/>
                <w:szCs w:val="24"/>
              </w:rPr>
              <w:t>/розпорядження</w:t>
            </w:r>
            <w:r w:rsidRPr="00EB1DD8">
              <w:rPr>
                <w:rFonts w:ascii="Times New Roman" w:hAnsi="Times New Roman" w:cs="Times New Roman"/>
                <w:sz w:val="24"/>
                <w:szCs w:val="24"/>
              </w:rPr>
              <w:t xml:space="preserve"> уповноваженої особи Комісії</w:t>
            </w:r>
            <w:r w:rsidRPr="00EB1DD8">
              <w:rPr>
                <w:rFonts w:ascii="Times New Roman" w:eastAsia="Times New Roman" w:hAnsi="Times New Roman" w:cs="Times New Roman"/>
                <w:sz w:val="24"/>
                <w:szCs w:val="24"/>
                <w:lang w:eastAsia="uk-UA"/>
              </w:rPr>
              <w:t>;</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17</w:t>
            </w:r>
            <w:r w:rsidRPr="00EB1DD8">
              <w:rPr>
                <w:rFonts w:ascii="Times New Roman" w:eastAsia="Times New Roman" w:hAnsi="Times New Roman" w:cs="Times New Roman"/>
                <w:sz w:val="24"/>
                <w:szCs w:val="24"/>
                <w:lang w:eastAsia="uk-UA"/>
              </w:rPr>
              <w:t>) гудвілу;</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18</w:t>
            </w:r>
            <w:r w:rsidRPr="00EB1DD8">
              <w:rPr>
                <w:rFonts w:ascii="Times New Roman" w:eastAsia="Times New Roman" w:hAnsi="Times New Roman" w:cs="Times New Roman"/>
                <w:sz w:val="24"/>
                <w:szCs w:val="24"/>
                <w:lang w:eastAsia="uk-UA"/>
              </w:rPr>
              <w:t xml:space="preserve">) векселів придбаних та одержаних, якщо цінні папери векселедавця не </w:t>
            </w:r>
            <w:r w:rsidRPr="00EB1DD8">
              <w:rPr>
                <w:rFonts w:ascii="Times New Roman" w:eastAsia="Times New Roman" w:hAnsi="Times New Roman" w:cs="Times New Roman"/>
                <w:b/>
                <w:sz w:val="24"/>
                <w:szCs w:val="24"/>
                <w:lang w:val="ru-RU" w:eastAsia="uk-UA"/>
              </w:rPr>
              <w:t>допущені до торгів на</w:t>
            </w:r>
            <w:r w:rsidRPr="00EB1DD8">
              <w:rPr>
                <w:rFonts w:ascii="Times New Roman" w:eastAsia="Times New Roman" w:hAnsi="Times New Roman" w:cs="Times New Roman"/>
                <w:sz w:val="24"/>
                <w:szCs w:val="24"/>
                <w:lang w:eastAsia="uk-UA"/>
              </w:rPr>
              <w:t xml:space="preserve"> принаймні </w:t>
            </w:r>
            <w:r w:rsidRPr="00EB1DD8">
              <w:rPr>
                <w:rFonts w:ascii="Times New Roman" w:eastAsia="Times New Roman" w:hAnsi="Times New Roman" w:cs="Times New Roman"/>
                <w:b/>
                <w:sz w:val="24"/>
                <w:szCs w:val="24"/>
                <w:lang w:eastAsia="uk-UA"/>
              </w:rPr>
              <w:t>одно</w:t>
            </w:r>
            <w:r w:rsidRPr="00EB1DD8">
              <w:rPr>
                <w:rFonts w:ascii="Times New Roman" w:eastAsia="Times New Roman" w:hAnsi="Times New Roman" w:cs="Times New Roman"/>
                <w:b/>
                <w:sz w:val="24"/>
                <w:szCs w:val="24"/>
                <w:lang w:val="ru-RU" w:eastAsia="uk-UA"/>
              </w:rPr>
              <w:t>му</w:t>
            </w:r>
            <w:r w:rsidRPr="00EB1DD8">
              <w:rPr>
                <w:rFonts w:ascii="Times New Roman" w:eastAsia="Times New Roman" w:hAnsi="Times New Roman" w:cs="Times New Roman"/>
                <w:sz w:val="24"/>
                <w:szCs w:val="24"/>
                <w:lang w:eastAsia="uk-UA"/>
              </w:rPr>
              <w:t xml:space="preserve"> з </w:t>
            </w:r>
            <w:r w:rsidRPr="00EB1DD8">
              <w:rPr>
                <w:rFonts w:ascii="Times New Roman" w:eastAsia="Times New Roman" w:hAnsi="Times New Roman" w:cs="Times New Roman"/>
                <w:b/>
                <w:sz w:val="24"/>
                <w:szCs w:val="24"/>
                <w:lang w:eastAsia="uk-UA"/>
              </w:rPr>
              <w:t>регульованих ринків капіталу</w:t>
            </w:r>
            <w:r w:rsidRPr="00EB1DD8">
              <w:rPr>
                <w:rFonts w:ascii="Times New Roman" w:eastAsia="Times New Roman" w:hAnsi="Times New Roman" w:cs="Times New Roman"/>
                <w:sz w:val="24"/>
                <w:szCs w:val="24"/>
                <w:lang w:eastAsia="uk-UA"/>
              </w:rPr>
              <w:t>, та векселів, виданих фізичними особами;</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19</w:t>
            </w:r>
            <w:r w:rsidRPr="00EB1DD8">
              <w:rPr>
                <w:rFonts w:ascii="Times New Roman" w:eastAsia="Times New Roman" w:hAnsi="Times New Roman" w:cs="Times New Roman"/>
                <w:sz w:val="24"/>
                <w:szCs w:val="24"/>
                <w:lang w:eastAsia="uk-UA"/>
              </w:rPr>
              <w:t>) відстрочених податкових активів;</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b/>
                <w:sz w:val="24"/>
                <w:szCs w:val="24"/>
                <w:lang w:val="ru-RU" w:eastAsia="uk-UA"/>
              </w:rPr>
            </w:pPr>
            <w:r w:rsidRPr="00EB1DD8">
              <w:rPr>
                <w:rFonts w:ascii="Times New Roman" w:eastAsia="Times New Roman" w:hAnsi="Times New Roman" w:cs="Times New Roman"/>
                <w:b/>
                <w:sz w:val="24"/>
                <w:szCs w:val="24"/>
                <w:lang w:val="ru-RU" w:eastAsia="uk-UA"/>
              </w:rPr>
              <w:t>20</w:t>
            </w:r>
            <w:r w:rsidRPr="00EB1DD8">
              <w:rPr>
                <w:rFonts w:ascii="Times New Roman" w:eastAsia="Times New Roman" w:hAnsi="Times New Roman" w:cs="Times New Roman"/>
                <w:sz w:val="24"/>
                <w:szCs w:val="24"/>
                <w:lang w:eastAsia="uk-UA"/>
              </w:rPr>
              <w:t>) витрат майбутніх періодів</w:t>
            </w:r>
            <w:r w:rsidRPr="00EB1DD8">
              <w:rPr>
                <w:rFonts w:ascii="Times New Roman" w:eastAsia="Times New Roman" w:hAnsi="Times New Roman" w:cs="Times New Roman"/>
                <w:b/>
                <w:sz w:val="24"/>
                <w:szCs w:val="24"/>
                <w:lang w:val="ru-RU" w:eastAsia="uk-UA"/>
              </w:rPr>
              <w:t>;</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val="ru-RU" w:eastAsia="uk-UA"/>
              </w:rPr>
            </w:pPr>
            <w:r w:rsidRPr="00EB1DD8">
              <w:rPr>
                <w:rFonts w:ascii="Times New Roman" w:eastAsia="Times New Roman" w:hAnsi="Times New Roman" w:cs="Times New Roman"/>
                <w:b/>
                <w:sz w:val="24"/>
                <w:szCs w:val="24"/>
                <w:lang w:val="ru-RU" w:eastAsia="uk-UA"/>
              </w:rPr>
              <w:t xml:space="preserve">21) </w:t>
            </w:r>
            <w:r w:rsidRPr="00EB1DD8">
              <w:rPr>
                <w:rFonts w:ascii="Times New Roman" w:eastAsia="Times New Roman" w:hAnsi="Times New Roman" w:cs="Times New Roman"/>
                <w:b/>
                <w:sz w:val="24"/>
                <w:szCs w:val="24"/>
                <w:lang w:eastAsia="uk-UA"/>
              </w:rPr>
              <w:t>фінансов</w:t>
            </w:r>
            <w:r w:rsidRPr="00EB1DD8">
              <w:rPr>
                <w:rFonts w:ascii="Times New Roman" w:eastAsia="Times New Roman" w:hAnsi="Times New Roman" w:cs="Times New Roman"/>
                <w:b/>
                <w:sz w:val="24"/>
                <w:szCs w:val="24"/>
                <w:lang w:val="ru-RU" w:eastAsia="uk-UA"/>
              </w:rPr>
              <w:t>их</w:t>
            </w:r>
            <w:r w:rsidRPr="00EB1DD8">
              <w:rPr>
                <w:rFonts w:ascii="Times New Roman" w:eastAsia="Times New Roman" w:hAnsi="Times New Roman" w:cs="Times New Roman"/>
                <w:b/>
                <w:sz w:val="24"/>
                <w:szCs w:val="24"/>
                <w:lang w:eastAsia="uk-UA"/>
              </w:rPr>
              <w:t xml:space="preserve"> інвестиці</w:t>
            </w:r>
            <w:r w:rsidRPr="00EB1DD8">
              <w:rPr>
                <w:rFonts w:ascii="Times New Roman" w:eastAsia="Times New Roman" w:hAnsi="Times New Roman" w:cs="Times New Roman"/>
                <w:b/>
                <w:sz w:val="24"/>
                <w:szCs w:val="24"/>
                <w:lang w:val="ru-RU" w:eastAsia="uk-UA"/>
              </w:rPr>
              <w:t>й</w:t>
            </w:r>
            <w:r w:rsidRPr="00EB1DD8">
              <w:rPr>
                <w:rFonts w:ascii="Times New Roman" w:hAnsi="Times New Roman" w:cs="Times New Roman"/>
                <w:b/>
                <w:sz w:val="24"/>
                <w:szCs w:val="24"/>
              </w:rPr>
              <w:t xml:space="preserve"> у статутн</w:t>
            </w:r>
            <w:r w:rsidRPr="00EB1DD8">
              <w:rPr>
                <w:rFonts w:ascii="Times New Roman" w:hAnsi="Times New Roman" w:cs="Times New Roman"/>
                <w:b/>
                <w:sz w:val="24"/>
                <w:szCs w:val="24"/>
                <w:lang w:val="ru-RU"/>
              </w:rPr>
              <w:t>ий</w:t>
            </w:r>
            <w:r w:rsidRPr="00EB1DD8">
              <w:rPr>
                <w:rFonts w:ascii="Times New Roman" w:hAnsi="Times New Roman" w:cs="Times New Roman"/>
                <w:b/>
                <w:sz w:val="24"/>
                <w:szCs w:val="24"/>
              </w:rPr>
              <w:t xml:space="preserve"> капітал підприємств-банкрутів, підприємств, щодо яких порушено справу про банкрутство</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 xml:space="preserve"> та</w:t>
            </w:r>
            <w:r w:rsidRPr="00EB1DD8">
              <w:rPr>
                <w:rFonts w:ascii="Times New Roman" w:hAnsi="Times New Roman" w:cs="Times New Roman"/>
                <w:b/>
                <w:sz w:val="24"/>
                <w:szCs w:val="24"/>
                <w:lang w:val="ru-RU"/>
              </w:rPr>
              <w:t xml:space="preserve"> </w:t>
            </w:r>
            <w:r w:rsidRPr="00EB1DD8">
              <w:rPr>
                <w:rFonts w:ascii="Times New Roman" w:hAnsi="Times New Roman" w:cs="Times New Roman"/>
                <w:b/>
                <w:sz w:val="24"/>
                <w:szCs w:val="24"/>
              </w:rPr>
              <w:t xml:space="preserve">підприємств, щодо яких </w:t>
            </w:r>
            <w:r w:rsidRPr="00EB1DD8">
              <w:rPr>
                <w:rFonts w:ascii="Times New Roman" w:eastAsia="Times New Roman" w:hAnsi="Times New Roman" w:cs="Times New Roman"/>
                <w:b/>
                <w:sz w:val="24"/>
                <w:szCs w:val="24"/>
                <w:lang w:eastAsia="uk-UA"/>
              </w:rPr>
              <w:t>проводиться</w:t>
            </w:r>
            <w:r w:rsidRPr="00EB1DD8">
              <w:rPr>
                <w:rFonts w:ascii="Times New Roman" w:hAnsi="Times New Roman" w:cs="Times New Roman"/>
                <w:b/>
                <w:sz w:val="24"/>
                <w:szCs w:val="24"/>
              </w:rPr>
              <w:t xml:space="preserve"> процедур</w:t>
            </w:r>
            <w:r w:rsidRPr="00EB1DD8">
              <w:rPr>
                <w:rFonts w:ascii="Times New Roman" w:hAnsi="Times New Roman" w:cs="Times New Roman"/>
                <w:b/>
                <w:sz w:val="24"/>
                <w:szCs w:val="24"/>
                <w:lang w:val="ru-RU"/>
              </w:rPr>
              <w:t>а</w:t>
            </w:r>
            <w:r w:rsidRPr="00EB1DD8">
              <w:rPr>
                <w:rFonts w:ascii="Times New Roman" w:hAnsi="Times New Roman" w:cs="Times New Roman"/>
                <w:b/>
                <w:sz w:val="24"/>
                <w:szCs w:val="24"/>
              </w:rPr>
              <w:t xml:space="preserve"> ліквідації, </w:t>
            </w:r>
            <w:r w:rsidRPr="00EB1DD8">
              <w:rPr>
                <w:rFonts w:ascii="Times New Roman" w:hAnsi="Times New Roman" w:cs="Times New Roman"/>
                <w:b/>
                <w:sz w:val="24"/>
                <w:szCs w:val="24"/>
                <w:lang w:val="ru-RU"/>
              </w:rPr>
              <w:t xml:space="preserve">а </w:t>
            </w:r>
            <w:r w:rsidRPr="00EB1DD8">
              <w:rPr>
                <w:rFonts w:ascii="Times New Roman" w:hAnsi="Times New Roman" w:cs="Times New Roman"/>
                <w:b/>
                <w:sz w:val="24"/>
                <w:szCs w:val="24"/>
              </w:rPr>
              <w:t>та</w:t>
            </w:r>
            <w:r w:rsidRPr="00EB1DD8">
              <w:rPr>
                <w:rFonts w:ascii="Times New Roman" w:hAnsi="Times New Roman" w:cs="Times New Roman"/>
                <w:b/>
                <w:sz w:val="24"/>
                <w:szCs w:val="24"/>
                <w:lang w:val="ru-RU"/>
              </w:rPr>
              <w:t>кож</w:t>
            </w:r>
            <w:r w:rsidRPr="00EB1DD8">
              <w:rPr>
                <w:rFonts w:ascii="Times New Roman" w:hAnsi="Times New Roman" w:cs="Times New Roman"/>
                <w:b/>
                <w:sz w:val="24"/>
                <w:szCs w:val="24"/>
              </w:rPr>
              <w:t xml:space="preserve"> їх дебіторської заборгованості</w:t>
            </w:r>
            <w:r w:rsidRPr="00EB1DD8">
              <w:rPr>
                <w:rFonts w:ascii="Times New Roman" w:hAnsi="Times New Roman" w:cs="Times New Roman"/>
                <w:sz w:val="24"/>
                <w:szCs w:val="24"/>
                <w:lang w:val="ru-RU"/>
              </w:rPr>
              <w:t>.</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6. Капітал другого рівня складається з таких елементів:</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внески до незареєстрованого статутного капіталу;</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капітал у дооцінках.</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Капітал другого рівня включається до регулятивного капіталу в частині, що не перевищує розміру капіталу першого рівня.</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7. Під час розрахунку регулятивного капіталу не допускається неодноразове врахування елементів капіталу та неодноразове вирахування активів.</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8. Мінімальний розмір регулятивного капіталу </w:t>
            </w:r>
            <w:r w:rsidRPr="00EB1DD8">
              <w:rPr>
                <w:rFonts w:ascii="Times New Roman" w:eastAsia="Times New Roman" w:hAnsi="Times New Roman" w:cs="Times New Roman"/>
                <w:b/>
                <w:sz w:val="24"/>
                <w:szCs w:val="24"/>
                <w:lang w:eastAsia="uk-UA"/>
              </w:rPr>
              <w:t>інвестиційної фірми</w:t>
            </w:r>
            <w:r w:rsidRPr="00EB1DD8">
              <w:rPr>
                <w:rFonts w:ascii="Times New Roman" w:eastAsia="Times New Roman" w:hAnsi="Times New Roman" w:cs="Times New Roman"/>
                <w:sz w:val="24"/>
                <w:szCs w:val="24"/>
                <w:lang w:eastAsia="uk-UA"/>
              </w:rPr>
              <w:t xml:space="preserve"> повинен становити не менше </w:t>
            </w:r>
            <w:r w:rsidRPr="00EB1DD8">
              <w:rPr>
                <w:rFonts w:ascii="Times New Roman" w:eastAsia="Times New Roman" w:hAnsi="Times New Roman" w:cs="Times New Roman"/>
                <w:sz w:val="24"/>
                <w:szCs w:val="24"/>
                <w:lang w:eastAsia="uk-UA"/>
              </w:rPr>
              <w:lastRenderedPageBreak/>
              <w:t xml:space="preserve">мінімального розміру </w:t>
            </w:r>
            <w:r w:rsidRPr="00EB1DD8">
              <w:rPr>
                <w:rFonts w:ascii="Times New Roman" w:eastAsia="Times New Roman" w:hAnsi="Times New Roman" w:cs="Times New Roman"/>
                <w:b/>
                <w:sz w:val="24"/>
                <w:szCs w:val="24"/>
                <w:lang w:eastAsia="uk-UA"/>
              </w:rPr>
              <w:t>початкового</w:t>
            </w:r>
            <w:r w:rsidRPr="00EB1DD8">
              <w:rPr>
                <w:rFonts w:ascii="Times New Roman" w:eastAsia="Times New Roman" w:hAnsi="Times New Roman" w:cs="Times New Roman"/>
                <w:sz w:val="24"/>
                <w:szCs w:val="24"/>
                <w:lang w:eastAsia="uk-UA"/>
              </w:rPr>
              <w:t xml:space="preserve"> капіталу, встановленого законодавством для відповідного виду </w:t>
            </w:r>
            <w:r w:rsidRPr="00EB1DD8">
              <w:rPr>
                <w:rFonts w:ascii="Times New Roman" w:eastAsia="Times New Roman" w:hAnsi="Times New Roman" w:cs="Times New Roman"/>
                <w:b/>
                <w:sz w:val="24"/>
                <w:szCs w:val="24"/>
                <w:lang w:eastAsia="uk-UA"/>
              </w:rPr>
              <w:t>діяльності в межах професійної діяльності з торгівлі фінансовими інструментами</w:t>
            </w:r>
            <w:r w:rsidRPr="00EB1DD8">
              <w:rPr>
                <w:rFonts w:ascii="Times New Roman" w:eastAsia="Times New Roman" w:hAnsi="Times New Roman" w:cs="Times New Roman"/>
                <w:sz w:val="24"/>
                <w:szCs w:val="24"/>
                <w:lang w:eastAsia="uk-UA"/>
              </w:rPr>
              <w:t>.</w:t>
            </w:r>
          </w:p>
          <w:p w:rsidR="001A33D5" w:rsidRPr="00EB1DD8" w:rsidRDefault="001A33D5" w:rsidP="000A3B80">
            <w:pPr>
              <w:shd w:val="clear" w:color="auto" w:fill="FFFFFF"/>
              <w:spacing w:after="150" w:line="240" w:lineRule="auto"/>
              <w:ind w:firstLine="450"/>
              <w:jc w:val="both"/>
              <w:rPr>
                <w:rFonts w:ascii="Times New Roman" w:eastAsia="Times New Roman" w:hAnsi="Times New Roman" w:cs="Times New Roman"/>
                <w:b/>
                <w:i/>
                <w:sz w:val="24"/>
                <w:szCs w:val="24"/>
                <w:lang w:eastAsia="uk-UA"/>
              </w:rPr>
            </w:pPr>
            <w:r w:rsidRPr="00EB1DD8">
              <w:rPr>
                <w:rFonts w:ascii="Times New Roman" w:eastAsia="Times New Roman" w:hAnsi="Times New Roman" w:cs="Times New Roman"/>
                <w:b/>
                <w:sz w:val="24"/>
                <w:szCs w:val="24"/>
                <w:lang w:eastAsia="uk-UA"/>
              </w:rPr>
              <w:t xml:space="preserve">Для </w:t>
            </w:r>
            <w:r w:rsidRPr="00EB1DD8">
              <w:rPr>
                <w:rStyle w:val="af"/>
                <w:rFonts w:ascii="Times New Roman" w:hAnsi="Times New Roman" w:cs="Times New Roman"/>
                <w:b/>
                <w:color w:val="000000"/>
                <w:sz w:val="24"/>
                <w:szCs w:val="24"/>
                <w:shd w:val="clear" w:color="auto" w:fill="FFFFFF"/>
              </w:rPr>
              <w:t> </w:t>
            </w:r>
            <w:r w:rsidRPr="00EB1DD8">
              <w:rPr>
                <w:rStyle w:val="af"/>
                <w:rFonts w:ascii="Times New Roman" w:hAnsi="Times New Roman" w:cs="Times New Roman"/>
                <w:b/>
                <w:i w:val="0"/>
                <w:color w:val="000000"/>
                <w:sz w:val="24"/>
                <w:szCs w:val="24"/>
                <w:shd w:val="clear" w:color="auto" w:fill="FFFFFF"/>
              </w:rPr>
              <w:t xml:space="preserve">інвестиційної фірми, що надає </w:t>
            </w:r>
            <w:r w:rsidRPr="00EB1DD8">
              <w:rPr>
                <w:rFonts w:ascii="Times New Roman" w:hAnsi="Times New Roman" w:cs="Times New Roman"/>
                <w:b/>
                <w:color w:val="000000"/>
                <w:sz w:val="24"/>
                <w:szCs w:val="24"/>
                <w:shd w:val="clear" w:color="auto" w:fill="FFFFFF"/>
              </w:rPr>
              <w:t xml:space="preserve">додаткові послуги в межах професійної діяльності з торгівлі фінансовими інструментами (субброкерської діяльності, брокерської діяльності та </w:t>
            </w:r>
            <w:r w:rsidRPr="00EB1DD8">
              <w:rPr>
                <w:rFonts w:ascii="Times New Roman" w:eastAsia="Times New Roman" w:hAnsi="Times New Roman" w:cs="Times New Roman"/>
                <w:b/>
                <w:sz w:val="24"/>
                <w:szCs w:val="24"/>
                <w:lang w:eastAsia="uk-UA"/>
              </w:rPr>
              <w:t>діяльності з управління портфелем фінансових інструментів),</w:t>
            </w:r>
            <w:r w:rsidRPr="00EB1DD8">
              <w:rPr>
                <w:rFonts w:ascii="Times New Roman" w:hAnsi="Times New Roman" w:cs="Times New Roman"/>
                <w:b/>
                <w:color w:val="000000"/>
                <w:sz w:val="24"/>
                <w:szCs w:val="24"/>
                <w:shd w:val="clear" w:color="auto" w:fill="FFFFFF"/>
              </w:rPr>
              <w:t xml:space="preserve"> а саме</w:t>
            </w:r>
            <w:r w:rsidRPr="00EB1DD8">
              <w:rPr>
                <w:rStyle w:val="af"/>
                <w:rFonts w:ascii="Times New Roman" w:hAnsi="Times New Roman" w:cs="Times New Roman"/>
                <w:b/>
                <w:i w:val="0"/>
                <w:color w:val="000000"/>
                <w:sz w:val="24"/>
                <w:szCs w:val="24"/>
                <w:shd w:val="clear" w:color="auto" w:fill="FFFFFF"/>
              </w:rPr>
              <w:t xml:space="preserve"> здійснює діяльність щодо надання клієнтам кредитів та позик для укладення деривативних контрактів та вчинення правочинів щодо фінансових інструментів, вимога до </w:t>
            </w:r>
            <w:r w:rsidRPr="00EB1DD8">
              <w:rPr>
                <w:rFonts w:ascii="Times New Roman" w:eastAsia="Times New Roman" w:hAnsi="Times New Roman" w:cs="Times New Roman"/>
                <w:b/>
                <w:lang w:eastAsia="uk-UA"/>
              </w:rPr>
              <w:t>м</w:t>
            </w:r>
            <w:r w:rsidRPr="00EB1DD8">
              <w:rPr>
                <w:rFonts w:ascii="Times New Roman" w:eastAsia="Times New Roman" w:hAnsi="Times New Roman" w:cs="Times New Roman"/>
                <w:b/>
                <w:sz w:val="24"/>
                <w:szCs w:val="24"/>
                <w:lang w:eastAsia="uk-UA"/>
              </w:rPr>
              <w:t>інімального розміру регулятивного капіталу становить не менше мінімального розміру початкового капіталу, встановленого законодавством для відповідного виду діяльності в межах професійної діяльності з торгівлі фінансовими інструментами, збільшеного на 2,5 млн. грн.</w:t>
            </w:r>
          </w:p>
          <w:p w:rsidR="001A33D5" w:rsidRPr="00EB1DD8" w:rsidRDefault="001A33D5" w:rsidP="002D4723">
            <w:pPr>
              <w:shd w:val="clear" w:color="auto" w:fill="FFFFFF"/>
              <w:spacing w:after="150" w:line="240" w:lineRule="auto"/>
              <w:ind w:firstLine="450"/>
              <w:jc w:val="both"/>
              <w:rPr>
                <w:rFonts w:ascii="Times New Roman" w:eastAsia="Times New Roman" w:hAnsi="Times New Roman" w:cs="Times New Roman"/>
                <w:b/>
                <w:bCs/>
                <w:strike/>
                <w:sz w:val="24"/>
                <w:szCs w:val="24"/>
                <w:lang w:eastAsia="uk-UA"/>
              </w:rPr>
            </w:pPr>
            <w:r w:rsidRPr="00EB1DD8">
              <w:rPr>
                <w:rFonts w:ascii="Times New Roman" w:eastAsia="Times New Roman" w:hAnsi="Times New Roman" w:cs="Times New Roman"/>
                <w:sz w:val="24"/>
                <w:szCs w:val="24"/>
                <w:lang w:eastAsia="uk-UA"/>
              </w:rPr>
              <w:t xml:space="preserve">При провадженні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xml:space="preserve"> декількох видів діяльності </w:t>
            </w:r>
            <w:r w:rsidRPr="00EB1DD8">
              <w:rPr>
                <w:rFonts w:ascii="Times New Roman" w:eastAsia="Times New Roman" w:hAnsi="Times New Roman" w:cs="Times New Roman"/>
                <w:b/>
                <w:sz w:val="24"/>
                <w:szCs w:val="24"/>
                <w:lang w:eastAsia="uk-UA"/>
              </w:rPr>
              <w:t>в межах професійної діяльності з торгівлі фінансовими інструментами</w:t>
            </w:r>
            <w:r w:rsidRPr="00EB1DD8">
              <w:rPr>
                <w:rFonts w:ascii="Times New Roman" w:eastAsia="Times New Roman" w:hAnsi="Times New Roman" w:cs="Times New Roman"/>
                <w:sz w:val="24"/>
                <w:szCs w:val="24"/>
                <w:lang w:eastAsia="uk-UA"/>
              </w:rPr>
              <w:t xml:space="preserve"> вимога до мінімального розміру його регулятивного капіталу є більшою з вимог до мінімального розміру регулятивного капіталу, встановлених для відповідних видів діяльності, що здійснюються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w:t>
            </w:r>
          </w:p>
        </w:tc>
        <w:tc>
          <w:tcPr>
            <w:tcW w:w="4945" w:type="dxa"/>
          </w:tcPr>
          <w:p w:rsidR="001A33D5" w:rsidRPr="00EB1DD8" w:rsidRDefault="001A33D5"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8F7CFC" w:rsidRPr="00EB1DD8" w:rsidRDefault="008F7CFC"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B847F2" w:rsidRPr="00EB1DD8" w:rsidRDefault="007265D2"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Вважаємо н</w:t>
            </w:r>
            <w:r w:rsidR="008F7CFC" w:rsidRPr="00EB1DD8">
              <w:rPr>
                <w:rFonts w:ascii="Times New Roman" w:eastAsia="Times New Roman" w:hAnsi="Times New Roman" w:cs="Times New Roman"/>
                <w:b/>
                <w:bCs/>
                <w:sz w:val="24"/>
                <w:szCs w:val="24"/>
                <w:lang w:eastAsia="uk-UA"/>
              </w:rPr>
              <w:t>елогічн</w:t>
            </w:r>
            <w:r w:rsidRPr="00EB1DD8">
              <w:rPr>
                <w:rFonts w:ascii="Times New Roman" w:eastAsia="Times New Roman" w:hAnsi="Times New Roman" w:cs="Times New Roman"/>
                <w:b/>
                <w:bCs/>
                <w:sz w:val="24"/>
                <w:szCs w:val="24"/>
                <w:lang w:eastAsia="uk-UA"/>
              </w:rPr>
              <w:t>им</w:t>
            </w:r>
            <w:r w:rsidR="008F7CFC" w:rsidRPr="00EB1DD8">
              <w:rPr>
                <w:rFonts w:ascii="Times New Roman" w:eastAsia="Times New Roman" w:hAnsi="Times New Roman" w:cs="Times New Roman"/>
                <w:b/>
                <w:bCs/>
                <w:sz w:val="24"/>
                <w:szCs w:val="24"/>
                <w:lang w:eastAsia="uk-UA"/>
              </w:rPr>
              <w:t xml:space="preserve"> встановлювати ліміт, прив</w:t>
            </w:r>
            <w:r w:rsidR="008F7CFC" w:rsidRPr="00EB1DD8">
              <w:rPr>
                <w:rFonts w:ascii="Times New Roman" w:eastAsia="Times New Roman" w:hAnsi="Times New Roman" w:cs="Times New Roman"/>
                <w:b/>
                <w:bCs/>
                <w:sz w:val="24"/>
                <w:szCs w:val="24"/>
                <w:lang w:val="ru-RU" w:eastAsia="uk-UA"/>
              </w:rPr>
              <w:t>’</w:t>
            </w:r>
            <w:r w:rsidR="008F7CFC" w:rsidRPr="00EB1DD8">
              <w:rPr>
                <w:rFonts w:ascii="Times New Roman" w:eastAsia="Times New Roman" w:hAnsi="Times New Roman" w:cs="Times New Roman"/>
                <w:b/>
                <w:bCs/>
                <w:sz w:val="24"/>
                <w:szCs w:val="24"/>
                <w:lang w:eastAsia="uk-UA"/>
              </w:rPr>
              <w:t>язаний до сталого значення, єдиного для усіх установ певного виду діяльності, адже для тих із них, хто має більший регулятивний капітал</w:t>
            </w:r>
            <w:r w:rsidR="008E4737" w:rsidRPr="00EB1DD8">
              <w:rPr>
                <w:rFonts w:ascii="Times New Roman" w:eastAsia="Times New Roman" w:hAnsi="Times New Roman" w:cs="Times New Roman"/>
                <w:b/>
                <w:bCs/>
                <w:sz w:val="24"/>
                <w:szCs w:val="24"/>
                <w:lang w:eastAsia="uk-UA"/>
              </w:rPr>
              <w:t xml:space="preserve">, </w:t>
            </w:r>
            <w:r w:rsidR="008F7CFC" w:rsidRPr="00EB1DD8">
              <w:rPr>
                <w:rFonts w:ascii="Times New Roman" w:eastAsia="Times New Roman" w:hAnsi="Times New Roman" w:cs="Times New Roman"/>
                <w:b/>
                <w:bCs/>
                <w:sz w:val="24"/>
                <w:szCs w:val="24"/>
                <w:lang w:eastAsia="uk-UA"/>
              </w:rPr>
              <w:t>такий ліміт буде відносно жорсткішим</w:t>
            </w:r>
            <w:r w:rsidR="008E4737" w:rsidRPr="00EB1DD8">
              <w:rPr>
                <w:rFonts w:ascii="Times New Roman" w:eastAsia="Times New Roman" w:hAnsi="Times New Roman" w:cs="Times New Roman"/>
                <w:b/>
                <w:bCs/>
                <w:sz w:val="24"/>
                <w:szCs w:val="24"/>
                <w:lang w:eastAsia="uk-UA"/>
              </w:rPr>
              <w:t>.</w:t>
            </w:r>
            <w:r w:rsidR="008F7CFC" w:rsidRPr="00EB1DD8">
              <w:rPr>
                <w:rFonts w:ascii="Times New Roman" w:eastAsia="Times New Roman" w:hAnsi="Times New Roman" w:cs="Times New Roman"/>
                <w:b/>
                <w:bCs/>
                <w:sz w:val="24"/>
                <w:szCs w:val="24"/>
                <w:lang w:eastAsia="uk-UA"/>
              </w:rPr>
              <w:t xml:space="preserve"> </w:t>
            </w:r>
            <w:r w:rsidR="00B847F2" w:rsidRPr="00EB1DD8">
              <w:rPr>
                <w:rFonts w:ascii="Times New Roman" w:eastAsia="Times New Roman" w:hAnsi="Times New Roman" w:cs="Times New Roman"/>
                <w:b/>
                <w:bCs/>
                <w:sz w:val="24"/>
                <w:szCs w:val="24"/>
                <w:lang w:eastAsia="uk-UA"/>
              </w:rPr>
              <w:t>Так чи інакше</w:t>
            </w:r>
            <w:r w:rsidR="008E4737" w:rsidRPr="00EB1DD8">
              <w:rPr>
                <w:rFonts w:ascii="Times New Roman" w:eastAsia="Times New Roman" w:hAnsi="Times New Roman" w:cs="Times New Roman"/>
                <w:b/>
                <w:bCs/>
                <w:sz w:val="24"/>
                <w:szCs w:val="24"/>
                <w:lang w:eastAsia="uk-UA"/>
              </w:rPr>
              <w:t>, в</w:t>
            </w:r>
            <w:r w:rsidR="00410E66" w:rsidRPr="00EB1DD8">
              <w:rPr>
                <w:rFonts w:ascii="Times New Roman" w:eastAsia="Times New Roman" w:hAnsi="Times New Roman" w:cs="Times New Roman"/>
                <w:b/>
                <w:bCs/>
                <w:sz w:val="24"/>
                <w:szCs w:val="24"/>
                <w:lang w:eastAsia="uk-UA"/>
              </w:rPr>
              <w:t xml:space="preserve">становлення ліміту розміром 25% </w:t>
            </w:r>
            <w:r w:rsidR="00845C4B" w:rsidRPr="00EB1DD8">
              <w:rPr>
                <w:rFonts w:ascii="Times New Roman" w:eastAsia="Times New Roman" w:hAnsi="Times New Roman" w:cs="Times New Roman"/>
                <w:b/>
                <w:bCs/>
                <w:sz w:val="24"/>
                <w:szCs w:val="24"/>
                <w:lang w:eastAsia="uk-UA"/>
              </w:rPr>
              <w:t xml:space="preserve">критично </w:t>
            </w:r>
            <w:r w:rsidR="00410E66" w:rsidRPr="00EB1DD8">
              <w:rPr>
                <w:rFonts w:ascii="Times New Roman" w:eastAsia="Times New Roman" w:hAnsi="Times New Roman" w:cs="Times New Roman"/>
                <w:b/>
                <w:bCs/>
                <w:sz w:val="24"/>
                <w:szCs w:val="24"/>
                <w:lang w:eastAsia="uk-UA"/>
              </w:rPr>
              <w:t xml:space="preserve">вплине майже </w:t>
            </w:r>
            <w:r w:rsidR="00845C4B" w:rsidRPr="00EB1DD8">
              <w:rPr>
                <w:rFonts w:ascii="Times New Roman" w:eastAsia="Times New Roman" w:hAnsi="Times New Roman" w:cs="Times New Roman"/>
                <w:b/>
                <w:bCs/>
                <w:sz w:val="24"/>
                <w:szCs w:val="24"/>
                <w:lang w:eastAsia="uk-UA"/>
              </w:rPr>
              <w:t xml:space="preserve">на </w:t>
            </w:r>
            <w:r w:rsidR="00410E66" w:rsidRPr="00EB1DD8">
              <w:rPr>
                <w:rFonts w:ascii="Times New Roman" w:eastAsia="Times New Roman" w:hAnsi="Times New Roman" w:cs="Times New Roman"/>
                <w:b/>
                <w:bCs/>
                <w:sz w:val="24"/>
                <w:szCs w:val="24"/>
                <w:lang w:eastAsia="uk-UA"/>
              </w:rPr>
              <w:t>половину профучасників ринку (КУА)</w:t>
            </w:r>
            <w:r w:rsidR="00845C4B" w:rsidRPr="00EB1DD8">
              <w:rPr>
                <w:rFonts w:ascii="Times New Roman" w:eastAsia="Times New Roman" w:hAnsi="Times New Roman" w:cs="Times New Roman"/>
                <w:b/>
                <w:bCs/>
                <w:sz w:val="24"/>
                <w:szCs w:val="24"/>
                <w:lang w:eastAsia="uk-UA"/>
              </w:rPr>
              <w:t xml:space="preserve"> </w:t>
            </w:r>
            <w:r w:rsidR="003D483D" w:rsidRPr="00EB1DD8">
              <w:rPr>
                <w:rFonts w:ascii="Times New Roman" w:eastAsia="Times New Roman" w:hAnsi="Times New Roman" w:cs="Times New Roman"/>
                <w:b/>
                <w:bCs/>
                <w:sz w:val="24"/>
                <w:szCs w:val="24"/>
                <w:lang w:eastAsia="uk-UA"/>
              </w:rPr>
              <w:t xml:space="preserve">і може суттєво зашкодити </w:t>
            </w:r>
            <w:r w:rsidR="00374D91" w:rsidRPr="00EB1DD8">
              <w:rPr>
                <w:rFonts w:ascii="Times New Roman" w:eastAsia="Times New Roman" w:hAnsi="Times New Roman" w:cs="Times New Roman"/>
                <w:b/>
                <w:bCs/>
                <w:sz w:val="24"/>
                <w:szCs w:val="24"/>
                <w:lang w:eastAsia="uk-UA"/>
              </w:rPr>
              <w:t>їхній</w:t>
            </w:r>
            <w:r w:rsidR="003D483D" w:rsidRPr="00EB1DD8">
              <w:rPr>
                <w:rFonts w:ascii="Times New Roman" w:eastAsia="Times New Roman" w:hAnsi="Times New Roman" w:cs="Times New Roman"/>
                <w:b/>
                <w:bCs/>
                <w:sz w:val="24"/>
                <w:szCs w:val="24"/>
                <w:lang w:eastAsia="uk-UA"/>
              </w:rPr>
              <w:t xml:space="preserve"> стабільній діяльності, </w:t>
            </w:r>
            <w:r w:rsidR="00845C4B" w:rsidRPr="00EB1DD8">
              <w:rPr>
                <w:rFonts w:ascii="Times New Roman" w:eastAsia="Times New Roman" w:hAnsi="Times New Roman" w:cs="Times New Roman"/>
                <w:b/>
                <w:bCs/>
                <w:sz w:val="24"/>
                <w:szCs w:val="24"/>
                <w:lang w:eastAsia="uk-UA"/>
              </w:rPr>
              <w:t xml:space="preserve">навіть якщо встановити прив’язку до зареєстрованого статутного капіталу відповідної компанії, а прив’язка до мінімального розміру регулятивного </w:t>
            </w:r>
            <w:r w:rsidR="00845C4B" w:rsidRPr="00EB1DD8">
              <w:rPr>
                <w:rFonts w:ascii="Times New Roman" w:eastAsia="Times New Roman" w:hAnsi="Times New Roman" w:cs="Times New Roman"/>
                <w:b/>
                <w:bCs/>
                <w:sz w:val="24"/>
                <w:szCs w:val="24"/>
                <w:lang w:eastAsia="uk-UA"/>
              </w:rPr>
              <w:lastRenderedPageBreak/>
              <w:t>капіталу вплине на ринок ще значно більше</w:t>
            </w:r>
            <w:r w:rsidR="00410E66" w:rsidRPr="00EB1DD8">
              <w:rPr>
                <w:rFonts w:ascii="Times New Roman" w:eastAsia="Times New Roman" w:hAnsi="Times New Roman" w:cs="Times New Roman"/>
                <w:b/>
                <w:bCs/>
                <w:sz w:val="24"/>
                <w:szCs w:val="24"/>
                <w:lang w:eastAsia="uk-UA"/>
              </w:rPr>
              <w:t xml:space="preserve">. </w:t>
            </w:r>
          </w:p>
          <w:p w:rsidR="003551AA" w:rsidRPr="00EB1DD8" w:rsidRDefault="00410E66"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 xml:space="preserve">Крім того, такі </w:t>
            </w:r>
            <w:r w:rsidR="003D483D" w:rsidRPr="00EB1DD8">
              <w:rPr>
                <w:rFonts w:ascii="Times New Roman" w:eastAsia="Times New Roman" w:hAnsi="Times New Roman" w:cs="Times New Roman"/>
                <w:b/>
                <w:bCs/>
                <w:sz w:val="24"/>
                <w:szCs w:val="24"/>
                <w:lang w:eastAsia="uk-UA"/>
              </w:rPr>
              <w:t>суттєві</w:t>
            </w:r>
            <w:r w:rsidRPr="00EB1DD8">
              <w:rPr>
                <w:rFonts w:ascii="Times New Roman" w:eastAsia="Times New Roman" w:hAnsi="Times New Roman" w:cs="Times New Roman"/>
                <w:b/>
                <w:bCs/>
                <w:sz w:val="24"/>
                <w:szCs w:val="24"/>
                <w:lang w:eastAsia="uk-UA"/>
              </w:rPr>
              <w:t xml:space="preserve"> зміни у нормативно-правовій базі діяльності профучасників, зокрема КУА, мають відбуватися</w:t>
            </w:r>
            <w:r w:rsidR="003D483D" w:rsidRPr="00EB1DD8">
              <w:rPr>
                <w:rFonts w:ascii="Times New Roman" w:eastAsia="Times New Roman" w:hAnsi="Times New Roman" w:cs="Times New Roman"/>
                <w:b/>
                <w:bCs/>
                <w:sz w:val="24"/>
                <w:szCs w:val="24"/>
                <w:lang w:eastAsia="uk-UA"/>
              </w:rPr>
              <w:t xml:space="preserve"> поступово та</w:t>
            </w:r>
            <w:r w:rsidRPr="00EB1DD8">
              <w:rPr>
                <w:rFonts w:ascii="Times New Roman" w:eastAsia="Times New Roman" w:hAnsi="Times New Roman" w:cs="Times New Roman"/>
                <w:b/>
                <w:bCs/>
                <w:sz w:val="24"/>
                <w:szCs w:val="24"/>
                <w:lang w:eastAsia="uk-UA"/>
              </w:rPr>
              <w:t xml:space="preserve"> після змін у профільному законодавстві, а воно наразі тільки очікує на відповідні зміни. Тому пропонуємо на першому етапі запровадити вищий ліміт, який надалі поступово (наприклад, протягом одного року) знижувати до 25%.</w:t>
            </w: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2A615E" w:rsidRPr="00EB1DD8" w:rsidRDefault="002A615E" w:rsidP="00410E66">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p>
          <w:p w:rsidR="00410E66" w:rsidRPr="00EB1DD8" w:rsidRDefault="003551AA" w:rsidP="003551AA">
            <w:pPr>
              <w:shd w:val="clear" w:color="auto" w:fill="FFFFFF"/>
              <w:spacing w:after="150" w:line="240" w:lineRule="auto"/>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t>Це важливе уточнення, що міститься у чинній редакції Положення. Його недоцільно видяляти, адже акції не усіх приватних акціонерних товариств можуть бути допущені до торгів на організованих ринках капіталу, а заборона щодо торгівлі на організованих ринках капіталу частиною з них встановлена законодавством України (див. також пп. 13, 16).</w:t>
            </w:r>
          </w:p>
        </w:tc>
        <w:tc>
          <w:tcPr>
            <w:tcW w:w="5405" w:type="dxa"/>
          </w:tcPr>
          <w:p w:rsidR="001A33D5" w:rsidRPr="00EB1DD8" w:rsidRDefault="001A33D5"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70439">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10E66" w:rsidRPr="00EB1DD8" w:rsidRDefault="00410E66"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 xml:space="preserve">6) короткострокової дебіторської заборгованості, термін сплати якої не настав, у разі, якщо загальна її сума перевищує 50% </w:t>
            </w:r>
            <w:r w:rsidR="002B4379" w:rsidRPr="00EB1DD8">
              <w:rPr>
                <w:rFonts w:ascii="Times New Roman" w:eastAsia="Times New Roman" w:hAnsi="Times New Roman" w:cs="Times New Roman"/>
                <w:b/>
                <w:sz w:val="24"/>
                <w:szCs w:val="24"/>
                <w:lang w:eastAsia="uk-UA"/>
              </w:rPr>
              <w:t xml:space="preserve">зареєстрованого статутного </w:t>
            </w:r>
            <w:r w:rsidRPr="00EB1DD8">
              <w:rPr>
                <w:rFonts w:ascii="Times New Roman" w:eastAsia="Times New Roman" w:hAnsi="Times New Roman" w:cs="Times New Roman"/>
                <w:b/>
                <w:sz w:val="24"/>
                <w:szCs w:val="24"/>
                <w:lang w:eastAsia="uk-UA"/>
              </w:rPr>
              <w:t>капіталу установи, у розмірі такого перевищення;</w:t>
            </w: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410E66">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3551AA" w:rsidRPr="00EB1DD8" w:rsidRDefault="003551AA" w:rsidP="003551AA">
            <w:pPr>
              <w:shd w:val="clear" w:color="auto" w:fill="FFFFFF"/>
              <w:spacing w:after="150" w:line="240" w:lineRule="auto"/>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lastRenderedPageBreak/>
              <w:t>15</w:t>
            </w:r>
            <w:r w:rsidRPr="00EB1DD8">
              <w:rPr>
                <w:rFonts w:ascii="Times New Roman" w:eastAsia="Times New Roman" w:hAnsi="Times New Roman" w:cs="Times New Roman"/>
                <w:sz w:val="24"/>
                <w:szCs w:val="24"/>
                <w:lang w:eastAsia="uk-UA"/>
              </w:rPr>
              <w:t xml:space="preserve">) балансової вартості цінних паперів, заборона щодо торгівлі якими на </w:t>
            </w:r>
            <w:r w:rsidRPr="00EB1DD8">
              <w:rPr>
                <w:rFonts w:ascii="Times New Roman" w:eastAsia="Times New Roman" w:hAnsi="Times New Roman" w:cs="Times New Roman"/>
                <w:b/>
                <w:sz w:val="24"/>
                <w:szCs w:val="24"/>
                <w:lang w:eastAsia="uk-UA"/>
              </w:rPr>
              <w:t>організованих ринках капіталу</w:t>
            </w:r>
            <w:r w:rsidRPr="00EB1DD8">
              <w:rPr>
                <w:rFonts w:ascii="Times New Roman" w:eastAsia="Times New Roman" w:hAnsi="Times New Roman" w:cs="Times New Roman"/>
                <w:sz w:val="24"/>
                <w:szCs w:val="24"/>
                <w:lang w:eastAsia="uk-UA"/>
              </w:rPr>
              <w:t xml:space="preserve"> не встановлена законодавством України (крім акцій приватних акціонерних товариств, </w:t>
            </w:r>
            <w:r w:rsidRPr="00EB1DD8">
              <w:rPr>
                <w:rFonts w:ascii="Times New Roman" w:eastAsia="Times New Roman" w:hAnsi="Times New Roman" w:cs="Times New Roman"/>
                <w:b/>
                <w:sz w:val="24"/>
                <w:szCs w:val="24"/>
                <w:lang w:eastAsia="uk-UA"/>
              </w:rPr>
              <w:t>які відповідно до законодавства України можуть бути допущені до торгів на організованих ринках капіталу</w:t>
            </w:r>
            <w:r w:rsidRPr="00EB1DD8">
              <w:rPr>
                <w:rFonts w:ascii="Times New Roman" w:eastAsia="Times New Roman" w:hAnsi="Times New Roman" w:cs="Times New Roman"/>
                <w:sz w:val="24"/>
                <w:szCs w:val="24"/>
                <w:lang w:eastAsia="uk-UA"/>
              </w:rPr>
              <w:t xml:space="preserve">), рішеннями Комісії або рішеннями суду, що не </w:t>
            </w:r>
            <w:r w:rsidRPr="00EB1DD8">
              <w:rPr>
                <w:rFonts w:ascii="Times New Roman" w:eastAsia="Times New Roman" w:hAnsi="Times New Roman" w:cs="Times New Roman"/>
                <w:b/>
                <w:sz w:val="24"/>
                <w:szCs w:val="24"/>
                <w:lang w:eastAsia="uk-UA"/>
              </w:rPr>
              <w:t>допущені до торгів на</w:t>
            </w:r>
            <w:r w:rsidRPr="00EB1DD8">
              <w:rPr>
                <w:rFonts w:ascii="Times New Roman" w:eastAsia="Times New Roman" w:hAnsi="Times New Roman" w:cs="Times New Roman"/>
                <w:sz w:val="24"/>
                <w:szCs w:val="24"/>
                <w:lang w:eastAsia="uk-UA"/>
              </w:rPr>
              <w:t xml:space="preserve"> принаймні </w:t>
            </w:r>
            <w:r w:rsidRPr="00EB1DD8">
              <w:rPr>
                <w:rFonts w:ascii="Times New Roman" w:eastAsia="Times New Roman" w:hAnsi="Times New Roman" w:cs="Times New Roman"/>
                <w:b/>
                <w:sz w:val="24"/>
                <w:szCs w:val="24"/>
                <w:lang w:eastAsia="uk-UA"/>
              </w:rPr>
              <w:t>одному</w:t>
            </w:r>
            <w:r w:rsidRPr="00EB1DD8">
              <w:rPr>
                <w:rFonts w:ascii="Times New Roman" w:eastAsia="Times New Roman" w:hAnsi="Times New Roman" w:cs="Times New Roman"/>
                <w:sz w:val="24"/>
                <w:szCs w:val="24"/>
                <w:lang w:eastAsia="uk-UA"/>
              </w:rPr>
              <w:t xml:space="preserve"> з </w:t>
            </w:r>
            <w:r w:rsidRPr="00EB1DD8">
              <w:rPr>
                <w:rFonts w:ascii="Times New Roman" w:eastAsia="Times New Roman" w:hAnsi="Times New Roman" w:cs="Times New Roman"/>
                <w:b/>
                <w:sz w:val="24"/>
                <w:szCs w:val="24"/>
                <w:lang w:eastAsia="uk-UA"/>
              </w:rPr>
              <w:t>організованих ринків капіталу</w:t>
            </w:r>
            <w:r w:rsidRPr="00EB1DD8">
              <w:rPr>
                <w:rFonts w:ascii="Times New Roman" w:eastAsia="Times New Roman" w:hAnsi="Times New Roman" w:cs="Times New Roman"/>
                <w:sz w:val="24"/>
                <w:szCs w:val="24"/>
                <w:lang w:eastAsia="uk-UA"/>
              </w:rPr>
              <w:t xml:space="preserve">,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w:t>
            </w:r>
            <w:r w:rsidRPr="00EB1DD8">
              <w:rPr>
                <w:rFonts w:ascii="Times New Roman" w:eastAsia="Times New Roman" w:hAnsi="Times New Roman" w:cs="Times New Roman"/>
                <w:b/>
                <w:sz w:val="24"/>
                <w:szCs w:val="24"/>
                <w:lang w:eastAsia="uk-UA"/>
              </w:rPr>
              <w:t>депозитних сертифікатів банків</w:t>
            </w:r>
            <w:r w:rsidRPr="00EB1DD8">
              <w:rPr>
                <w:rFonts w:ascii="Times New Roman" w:eastAsia="Times New Roman" w:hAnsi="Times New Roman" w:cs="Times New Roman"/>
                <w:sz w:val="24"/>
                <w:szCs w:val="24"/>
                <w:lang w:eastAsia="uk-UA"/>
              </w:rPr>
              <w:t>;</w:t>
            </w:r>
          </w:p>
          <w:p w:rsidR="003551AA" w:rsidRPr="00EB1DD8" w:rsidRDefault="003551AA" w:rsidP="003551AA">
            <w:pPr>
              <w:shd w:val="clear" w:color="auto" w:fill="FFFFFF"/>
              <w:spacing w:after="150" w:line="240" w:lineRule="auto"/>
              <w:jc w:val="both"/>
              <w:rPr>
                <w:rFonts w:ascii="Times New Roman" w:eastAsia="Times New Roman" w:hAnsi="Times New Roman" w:cs="Times New Roman"/>
                <w:b/>
                <w:sz w:val="24"/>
                <w:szCs w:val="24"/>
                <w:lang w:eastAsia="uk-UA"/>
              </w:rPr>
            </w:pPr>
          </w:p>
          <w:p w:rsidR="00410E66" w:rsidRPr="00EB1DD8" w:rsidRDefault="00410E66" w:rsidP="00410E66">
            <w:pPr>
              <w:shd w:val="clear" w:color="auto" w:fill="FFFFFF"/>
              <w:spacing w:before="150" w:after="0" w:line="240" w:lineRule="auto"/>
              <w:ind w:right="450"/>
              <w:rPr>
                <w:rFonts w:ascii="Times New Roman" w:eastAsia="Times New Roman" w:hAnsi="Times New Roman" w:cs="Times New Roman"/>
                <w:b/>
                <w:bCs/>
                <w:sz w:val="24"/>
                <w:szCs w:val="24"/>
                <w:lang w:eastAsia="uk-UA"/>
              </w:rPr>
            </w:pPr>
          </w:p>
        </w:tc>
      </w:tr>
      <w:tr w:rsidR="001A33D5" w:rsidRPr="00EB1DD8" w:rsidTr="0018386F">
        <w:trPr>
          <w:trHeight w:val="554"/>
        </w:trPr>
        <w:tc>
          <w:tcPr>
            <w:tcW w:w="5527" w:type="dxa"/>
          </w:tcPr>
          <w:p w:rsidR="001A33D5" w:rsidRPr="00EB1DD8" w:rsidRDefault="001A33D5"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7. Норматив концентрації кредитного ризику</w:t>
            </w:r>
          </w:p>
          <w:p w:rsidR="001A33D5" w:rsidRPr="00EB1DD8" w:rsidRDefault="001A33D5" w:rsidP="008A3A33">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1. Норматив концентрації кредитного ризику встановлює обмеження кредитного ризику установи, що може виникнути внаслідок невиконання своїх зобов’язань окремим її контрагентом.</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Для розрахунку нормативу концентрації кредитного ризику контрагентом установи вважається будь-яка особа, </w:t>
            </w:r>
            <w:r w:rsidRPr="00EB1DD8">
              <w:rPr>
                <w:rFonts w:ascii="Times New Roman" w:eastAsia="Times New Roman" w:hAnsi="Times New Roman" w:cs="Times New Roman"/>
                <w:b/>
                <w:sz w:val="24"/>
                <w:szCs w:val="24"/>
                <w:lang w:val="ru-RU" w:eastAsia="uk-UA"/>
              </w:rPr>
              <w:t>яка має зобов</w:t>
            </w:r>
            <w:r w:rsidRPr="00EB1DD8">
              <w:rPr>
                <w:rFonts w:ascii="Times New Roman" w:eastAsia="Times New Roman" w:hAnsi="Times New Roman" w:cs="Times New Roman"/>
                <w:b/>
                <w:sz w:val="24"/>
                <w:szCs w:val="24"/>
                <w:lang w:eastAsia="uk-UA"/>
              </w:rPr>
              <w:t>’</w:t>
            </w:r>
            <w:r w:rsidRPr="00EB1DD8">
              <w:rPr>
                <w:rFonts w:ascii="Times New Roman" w:eastAsia="Times New Roman" w:hAnsi="Times New Roman" w:cs="Times New Roman"/>
                <w:b/>
                <w:sz w:val="24"/>
                <w:szCs w:val="24"/>
                <w:lang w:val="ru-RU" w:eastAsia="uk-UA"/>
              </w:rPr>
              <w:t>язання перед установою за позиціями в активах</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установи, визначени</w:t>
            </w:r>
            <w:r w:rsidRPr="00EB1DD8">
              <w:rPr>
                <w:rFonts w:ascii="Times New Roman" w:eastAsia="Times New Roman" w:hAnsi="Times New Roman" w:cs="Times New Roman"/>
                <w:sz w:val="24"/>
                <w:szCs w:val="24"/>
                <w:lang w:val="ru-RU" w:eastAsia="uk-UA"/>
              </w:rPr>
              <w:t>х</w:t>
            </w:r>
            <w:r w:rsidRPr="00EB1DD8">
              <w:rPr>
                <w:rFonts w:ascii="Times New Roman" w:eastAsia="Times New Roman" w:hAnsi="Times New Roman" w:cs="Times New Roman"/>
                <w:sz w:val="24"/>
                <w:szCs w:val="24"/>
                <w:lang w:eastAsia="uk-UA"/>
              </w:rPr>
              <w:t> </w:t>
            </w:r>
            <w:hyperlink r:id="rId9" w:anchor="n557" w:history="1">
              <w:r w:rsidRPr="00EB1DD8">
                <w:rPr>
                  <w:rFonts w:ascii="Times New Roman" w:eastAsia="Times New Roman" w:hAnsi="Times New Roman" w:cs="Times New Roman"/>
                  <w:sz w:val="24"/>
                  <w:szCs w:val="24"/>
                  <w:lang w:eastAsia="uk-UA"/>
                </w:rPr>
                <w:t>пунктом 5</w:t>
              </w:r>
            </w:hyperlink>
            <w:r w:rsidRPr="00EB1DD8">
              <w:rPr>
                <w:rFonts w:ascii="Times New Roman" w:eastAsia="Times New Roman" w:hAnsi="Times New Roman" w:cs="Times New Roman"/>
                <w:sz w:val="24"/>
                <w:szCs w:val="24"/>
                <w:lang w:eastAsia="uk-UA"/>
              </w:rPr>
              <w:t> цієї глави.</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Норматив концентрації кредитного ризику визначається окремо щодо кожного контрагента установи як відношення суми всіх її активів, </w:t>
            </w:r>
            <w:r w:rsidRPr="00EB1DD8">
              <w:rPr>
                <w:rFonts w:ascii="Times New Roman" w:hAnsi="Times New Roman" w:cs="Times New Roman"/>
                <w:b/>
                <w:sz w:val="24"/>
                <w:szCs w:val="24"/>
              </w:rPr>
              <w:t xml:space="preserve">за якими </w:t>
            </w:r>
            <w:r w:rsidRPr="00EB1DD8">
              <w:rPr>
                <w:rFonts w:ascii="Times New Roman" w:hAnsi="Times New Roman" w:cs="Times New Roman"/>
                <w:b/>
                <w:sz w:val="24"/>
                <w:szCs w:val="24"/>
                <w:lang w:val="ru-RU"/>
              </w:rPr>
              <w:t xml:space="preserve">такий </w:t>
            </w:r>
            <w:r w:rsidRPr="00EB1DD8">
              <w:rPr>
                <w:rFonts w:ascii="Times New Roman" w:hAnsi="Times New Roman" w:cs="Times New Roman"/>
                <w:b/>
                <w:sz w:val="24"/>
                <w:szCs w:val="24"/>
              </w:rPr>
              <w:t>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до розміру її регулятивного капіталу.</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Норматив концентрації кредитного ризику розраховується за формулою</w:t>
            </w:r>
          </w:p>
          <w:p w:rsidR="001A33D5" w:rsidRPr="00EB1DD8" w:rsidRDefault="001A33D5" w:rsidP="008A3A33">
            <w:pPr>
              <w:shd w:val="clear" w:color="auto" w:fill="FFFFFF"/>
              <w:spacing w:after="150" w:line="240" w:lineRule="auto"/>
              <w:ind w:firstLine="450"/>
              <w:jc w:val="center"/>
              <w:rPr>
                <w:b/>
              </w:rPr>
            </w:pPr>
            <w:r w:rsidRPr="00EB1DD8">
              <w:rPr>
                <w:b/>
                <w:position w:val="-42"/>
              </w:rPr>
              <w:object w:dxaOrig="36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41.3pt" o:ole="">
                  <v:imagedata r:id="rId10" o:title=""/>
                </v:shape>
                <o:OLEObject Type="Embed" ProgID="Equation.3" ShapeID="_x0000_i1025" DrawAspect="Content" ObjectID="_1689505251" r:id="rId11"/>
              </w:object>
            </w:r>
          </w:p>
          <w:p w:rsidR="001A33D5" w:rsidRPr="00EB1DD8" w:rsidRDefault="001A33D5" w:rsidP="00E73240">
            <w:pPr>
              <w:shd w:val="clear" w:color="auto" w:fill="FFFFFF"/>
              <w:tabs>
                <w:tab w:val="left" w:pos="5341"/>
              </w:tabs>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де</w:t>
            </w:r>
            <w:r w:rsidRPr="00EB1DD8">
              <w:rPr>
                <w:rFonts w:ascii="Times New Roman" w:eastAsia="Times New Roman" w:hAnsi="Times New Roman" w:cs="Times New Roman"/>
                <w:sz w:val="24"/>
                <w:szCs w:val="24"/>
                <w:lang w:eastAsia="uk-UA"/>
              </w:rPr>
              <w:tab/>
            </w:r>
          </w:p>
          <w:tbl>
            <w:tblPr>
              <w:tblW w:w="5000" w:type="pct"/>
              <w:tblCellMar>
                <w:left w:w="0" w:type="dxa"/>
                <w:right w:w="0" w:type="dxa"/>
              </w:tblCellMar>
              <w:tblLook w:val="04A0" w:firstRow="1" w:lastRow="0" w:firstColumn="1" w:lastColumn="0" w:noHBand="0" w:noVBand="1"/>
            </w:tblPr>
            <w:tblGrid>
              <w:gridCol w:w="212"/>
              <w:gridCol w:w="396"/>
              <w:gridCol w:w="155"/>
              <w:gridCol w:w="4542"/>
            </w:tblGrid>
            <w:tr w:rsidR="001A33D5" w:rsidRPr="00EB1DD8" w:rsidTr="00AC390D">
              <w:tc>
                <w:tcPr>
                  <w:tcW w:w="540" w:type="dxa"/>
                  <w:tcBorders>
                    <w:top w:val="single" w:sz="2" w:space="0" w:color="auto"/>
                    <w:left w:val="single" w:sz="2" w:space="0" w:color="auto"/>
                    <w:bottom w:val="single" w:sz="2" w:space="0" w:color="auto"/>
                    <w:right w:val="single" w:sz="2" w:space="0" w:color="auto"/>
                  </w:tcBorders>
                  <w:hideMark/>
                </w:tcPr>
                <w:p w:rsidR="001A33D5" w:rsidRPr="00EB1DD8" w:rsidRDefault="001A33D5" w:rsidP="008A3A33">
                  <w:pPr>
                    <w:spacing w:before="150" w:after="150" w:line="240" w:lineRule="auto"/>
                    <w:rPr>
                      <w:rFonts w:ascii="Times New Roman" w:eastAsia="Times New Roman" w:hAnsi="Times New Roman" w:cs="Times New Roman"/>
                      <w:sz w:val="24"/>
                      <w:szCs w:val="24"/>
                      <w:lang w:eastAsia="uk-UA"/>
                    </w:rPr>
                  </w:pPr>
                </w:p>
              </w:tc>
              <w:tc>
                <w:tcPr>
                  <w:tcW w:w="660" w:type="dxa"/>
                  <w:tcBorders>
                    <w:top w:val="single" w:sz="2" w:space="0" w:color="auto"/>
                    <w:left w:val="single" w:sz="2" w:space="0" w:color="auto"/>
                    <w:bottom w:val="single" w:sz="2" w:space="0" w:color="auto"/>
                    <w:right w:val="single" w:sz="2" w:space="0" w:color="auto"/>
                  </w:tcBorders>
                  <w:hideMark/>
                </w:tcPr>
                <w:p w:rsidR="001A33D5" w:rsidRPr="00EB1DD8" w:rsidRDefault="001A33D5" w:rsidP="008A3A33">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А</w:t>
                  </w:r>
                  <w:r w:rsidRPr="00EB1DD8">
                    <w:rPr>
                      <w:rFonts w:ascii="Times New Roman" w:eastAsia="Times New Roman" w:hAnsi="Times New Roman" w:cs="Times New Roman"/>
                      <w:b/>
                      <w:bCs/>
                      <w:sz w:val="16"/>
                      <w:szCs w:val="16"/>
                      <w:vertAlign w:val="subscript"/>
                      <w:lang w:eastAsia="uk-UA"/>
                    </w:rPr>
                    <w:t>k</w:t>
                  </w:r>
                </w:p>
              </w:tc>
              <w:tc>
                <w:tcPr>
                  <w:tcW w:w="270" w:type="dxa"/>
                  <w:tcBorders>
                    <w:top w:val="single" w:sz="2" w:space="0" w:color="auto"/>
                    <w:left w:val="single" w:sz="2" w:space="0" w:color="auto"/>
                    <w:bottom w:val="single" w:sz="2" w:space="0" w:color="auto"/>
                    <w:right w:val="single" w:sz="2" w:space="0" w:color="auto"/>
                  </w:tcBorders>
                  <w:hideMark/>
                </w:tcPr>
                <w:p w:rsidR="001A33D5" w:rsidRPr="00EB1DD8" w:rsidRDefault="001A33D5" w:rsidP="008A3A33">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9645" w:type="dxa"/>
                  <w:tcBorders>
                    <w:top w:val="single" w:sz="2" w:space="0" w:color="auto"/>
                    <w:left w:val="single" w:sz="2" w:space="0" w:color="auto"/>
                    <w:bottom w:val="single" w:sz="2" w:space="0" w:color="auto"/>
                    <w:right w:val="single" w:sz="2" w:space="0" w:color="auto"/>
                  </w:tcBorders>
                  <w:hideMark/>
                </w:tcPr>
                <w:p w:rsidR="001A33D5" w:rsidRPr="00EB1DD8" w:rsidRDefault="001A33D5" w:rsidP="00332A05">
                  <w:pPr>
                    <w:spacing w:before="150" w:after="150" w:line="240" w:lineRule="auto"/>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сума всіх активів установи, </w:t>
                  </w:r>
                  <w:r w:rsidRPr="00EB1DD8">
                    <w:rPr>
                      <w:rFonts w:ascii="Times New Roman" w:eastAsia="Times New Roman" w:hAnsi="Times New Roman" w:cs="Times New Roman"/>
                      <w:b/>
                      <w:sz w:val="24"/>
                      <w:szCs w:val="24"/>
                      <w:lang w:val="ru-RU" w:eastAsia="uk-UA"/>
                    </w:rPr>
                    <w:t>за якими</w:t>
                  </w:r>
                  <w:r w:rsidRPr="00EB1DD8">
                    <w:rPr>
                      <w:rFonts w:ascii="Times New Roman" w:eastAsia="Times New Roman" w:hAnsi="Times New Roman" w:cs="Times New Roman"/>
                      <w:b/>
                      <w:sz w:val="24"/>
                      <w:szCs w:val="24"/>
                      <w:lang w:eastAsia="uk-UA"/>
                    </w:rPr>
                    <w:t xml:space="preserve"> k-</w:t>
                  </w:r>
                  <w:r w:rsidRPr="00EB1DD8">
                    <w:rPr>
                      <w:rFonts w:ascii="Times New Roman" w:eastAsia="Times New Roman" w:hAnsi="Times New Roman" w:cs="Times New Roman"/>
                      <w:b/>
                      <w:sz w:val="24"/>
                      <w:szCs w:val="24"/>
                      <w:lang w:val="ru-RU" w:eastAsia="uk-UA"/>
                    </w:rPr>
                    <w:t>ий</w:t>
                  </w:r>
                  <w:r w:rsidRPr="00EB1DD8">
                    <w:rPr>
                      <w:rFonts w:ascii="Times New Roman" w:eastAsia="Times New Roman" w:hAnsi="Times New Roman" w:cs="Times New Roman"/>
                      <w:b/>
                      <w:sz w:val="24"/>
                      <w:szCs w:val="24"/>
                      <w:lang w:eastAsia="uk-UA"/>
                    </w:rPr>
                    <w:t xml:space="preserve"> контрагент</w:t>
                  </w:r>
                  <w:r w:rsidRPr="00EB1DD8">
                    <w:rPr>
                      <w:rFonts w:ascii="Times New Roman" w:eastAsia="Times New Roman" w:hAnsi="Times New Roman" w:cs="Times New Roman"/>
                      <w:b/>
                      <w:sz w:val="24"/>
                      <w:szCs w:val="24"/>
                      <w:lang w:val="ru-RU" w:eastAsia="uk-UA"/>
                    </w:rPr>
                    <w:t xml:space="preserve"> </w:t>
                  </w:r>
                  <w:r w:rsidRPr="00EB1DD8">
                    <w:rPr>
                      <w:rFonts w:ascii="Times New Roman" w:hAnsi="Times New Roman" w:cs="Times New Roman"/>
                      <w:b/>
                      <w:sz w:val="24"/>
                      <w:szCs w:val="24"/>
                    </w:rPr>
                    <w:t>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w:t>
                  </w:r>
                </w:p>
              </w:tc>
            </w:tr>
          </w:tbl>
          <w:p w:rsidR="001A33D5" w:rsidRPr="00EB1DD8" w:rsidRDefault="001A33D5" w:rsidP="008A3A33">
            <w:pPr>
              <w:shd w:val="clear" w:color="auto" w:fill="FFFFFF"/>
              <w:spacing w:before="120"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5. До активів, </w:t>
            </w:r>
            <w:r w:rsidRPr="00EB1DD8">
              <w:rPr>
                <w:rFonts w:ascii="Times New Roman" w:hAnsi="Times New Roman" w:cs="Times New Roman"/>
                <w:b/>
                <w:sz w:val="24"/>
                <w:szCs w:val="24"/>
              </w:rPr>
              <w:t>за якими 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належать:</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частки у статутному капіталі </w:t>
            </w:r>
            <w:r w:rsidRPr="00EB1DD8">
              <w:rPr>
                <w:rFonts w:ascii="Times New Roman" w:eastAsia="Times New Roman" w:hAnsi="Times New Roman" w:cs="Times New Roman"/>
                <w:b/>
                <w:sz w:val="24"/>
                <w:szCs w:val="24"/>
                <w:lang w:eastAsia="uk-UA"/>
              </w:rPr>
              <w:t>контрагента</w:t>
            </w:r>
            <w:r w:rsidRPr="00EB1DD8">
              <w:rPr>
                <w:rFonts w:ascii="Times New Roman" w:eastAsia="Times New Roman" w:hAnsi="Times New Roman" w:cs="Times New Roman"/>
                <w:sz w:val="24"/>
                <w:szCs w:val="24"/>
                <w:lang w:eastAsia="uk-UA"/>
              </w:rPr>
              <w:t>;</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lastRenderedPageBreak/>
              <w:t>емсійні/неемісійні, боргові цінні папери, випущені/видані контрагентом,</w:t>
            </w:r>
            <w:r w:rsidRPr="00EB1DD8">
              <w:rPr>
                <w:rFonts w:ascii="Times New Roman" w:eastAsia="Times New Roman" w:hAnsi="Times New Roman" w:cs="Times New Roman"/>
                <w:sz w:val="24"/>
                <w:szCs w:val="24"/>
                <w:lang w:eastAsia="uk-UA"/>
              </w:rPr>
              <w:t xml:space="preserve">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заборгованість контргента перед установою, у тому числі</w:t>
            </w:r>
            <w:r w:rsidRPr="00EB1DD8">
              <w:rPr>
                <w:rFonts w:ascii="Times New Roman" w:eastAsia="Times New Roman" w:hAnsi="Times New Roman" w:cs="Times New Roman"/>
                <w:sz w:val="24"/>
                <w:szCs w:val="24"/>
                <w:lang w:eastAsia="uk-UA"/>
              </w:rPr>
              <w:t xml:space="preserve"> дебіторська заборгованість;</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грошові кошти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на поточних рахунках та депозити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в банках, а також доходи, нараховані за ними.</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6. Установа розраховує значення нормативу концентрації кредитного ризику щодо кожного контрагента (крім особи, </w:t>
            </w:r>
            <w:r w:rsidRPr="00EB1DD8">
              <w:rPr>
                <w:rFonts w:ascii="Times New Roman" w:eastAsia="Times New Roman" w:hAnsi="Times New Roman" w:cs="Times New Roman"/>
                <w:b/>
                <w:sz w:val="24"/>
                <w:szCs w:val="24"/>
                <w:lang w:eastAsia="uk-UA"/>
              </w:rPr>
              <w:t>яка</w:t>
            </w:r>
            <w:r w:rsidRPr="00EB1DD8">
              <w:rPr>
                <w:rFonts w:ascii="Times New Roman" w:eastAsia="Times New Roman" w:hAnsi="Times New Roman" w:cs="Times New Roman"/>
                <w:sz w:val="24"/>
                <w:szCs w:val="24"/>
                <w:lang w:eastAsia="uk-UA"/>
              </w:rPr>
              <w:t xml:space="preserve"> провадить клірингову діяльність) і подає до Комісії інформацію про результати такого розрахунку, дані, на основі яких здійснювався розрахунок, та відомості про контрагентів у разі, якщо значення нормативу концентрації кредитного ризику щодо певного контрагента перевищує нормативне значення.</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У разі відсутності жодного контрагента, значення нормативу концентрації кредитного ризику щодо якого перевищує нормативне значення, до Комісії подається відповідна інформація стосовно розрахунку нормативу за одним контрагентом, що не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xml:space="preserve">, та за одним контрагентом, </w:t>
            </w:r>
            <w:r w:rsidRPr="00EB1DD8">
              <w:rPr>
                <w:rFonts w:ascii="Times New Roman" w:eastAsia="Times New Roman" w:hAnsi="Times New Roman" w:cs="Times New Roman"/>
                <w:sz w:val="24"/>
                <w:szCs w:val="24"/>
                <w:lang w:eastAsia="uk-UA"/>
              </w:rPr>
              <w:lastRenderedPageBreak/>
              <w:t xml:space="preserve">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значення нормативу концентрації кредитного ризику щодо яких є максимальним.</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7. Нормативне значення нормативу концентрації кредитного ризику щодо окремого контрагента, крім банків та </w:t>
            </w:r>
            <w:r w:rsidRPr="00EB1DD8">
              <w:rPr>
                <w:rFonts w:ascii="Times New Roman" w:eastAsia="Times New Roman" w:hAnsi="Times New Roman" w:cs="Times New Roman"/>
                <w:b/>
                <w:sz w:val="24"/>
                <w:szCs w:val="24"/>
                <w:lang w:eastAsia="uk-UA"/>
              </w:rPr>
              <w:t>інвестиційних фірм</w:t>
            </w:r>
            <w:r w:rsidRPr="00EB1DD8">
              <w:rPr>
                <w:rFonts w:ascii="Times New Roman" w:eastAsia="Times New Roman" w:hAnsi="Times New Roman" w:cs="Times New Roman"/>
                <w:sz w:val="24"/>
                <w:szCs w:val="24"/>
                <w:lang w:eastAsia="uk-UA"/>
              </w:rPr>
              <w:t>, становить не більше 25%. При цьому значення нормативу концентрації кредитного ризику щодо окремого контрагента не має бути від’ємним.</w:t>
            </w:r>
          </w:p>
          <w:p w:rsidR="001A33D5" w:rsidRPr="00EB1DD8" w:rsidRDefault="001A33D5" w:rsidP="00814B10">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8. Нормативне значення нормативу концентрації кредитного ризику щодо окремого контрагента,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становить не більше 100%. При цьому значення нормативу концентрації кредитного ризику щодо окремого контрагента не має бути від’ємним.</w:t>
            </w:r>
          </w:p>
        </w:tc>
        <w:tc>
          <w:tcPr>
            <w:tcW w:w="4945" w:type="dxa"/>
          </w:tcPr>
          <w:p w:rsidR="001A33D5" w:rsidRPr="00EB1DD8" w:rsidRDefault="001A33D5"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D837CF" w:rsidRPr="00EB1DD8" w:rsidRDefault="00D837CF"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2D4723" w:rsidRPr="00EB1DD8" w:rsidRDefault="002D4723" w:rsidP="002D4723">
            <w:pPr>
              <w:shd w:val="clear" w:color="auto" w:fill="FFFFFF"/>
              <w:spacing w:before="150" w:after="0" w:line="240" w:lineRule="auto"/>
              <w:ind w:right="450"/>
              <w:rPr>
                <w:rFonts w:ascii="Times New Roman" w:eastAsia="Times New Roman" w:hAnsi="Times New Roman" w:cs="Times New Roman"/>
                <w:b/>
                <w:bCs/>
                <w:sz w:val="24"/>
                <w:szCs w:val="24"/>
                <w:lang w:eastAsia="uk-UA"/>
              </w:rPr>
            </w:pPr>
          </w:p>
          <w:p w:rsidR="00D837CF" w:rsidRPr="00EB1DD8" w:rsidRDefault="00D837CF" w:rsidP="002D4723">
            <w:pPr>
              <w:shd w:val="clear" w:color="auto" w:fill="FFFFFF"/>
              <w:spacing w:before="150" w:after="0" w:line="240" w:lineRule="auto"/>
              <w:ind w:right="450"/>
              <w:rPr>
                <w:rFonts w:ascii="Times New Roman" w:eastAsia="Times New Roman" w:hAnsi="Times New Roman" w:cs="Times New Roman"/>
                <w:b/>
                <w:bCs/>
                <w:sz w:val="24"/>
                <w:szCs w:val="24"/>
                <w:lang w:eastAsia="uk-UA"/>
              </w:rPr>
            </w:pP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val="ru-RU" w:eastAsia="uk-UA"/>
              </w:rPr>
              <w:t xml:space="preserve">Для часток у статутному капіталі підприємства (наприклад, </w:t>
            </w:r>
            <w:r w:rsidR="00D837CF" w:rsidRPr="00EB1DD8">
              <w:rPr>
                <w:rFonts w:ascii="Times New Roman" w:eastAsia="Times New Roman" w:hAnsi="Times New Roman" w:cs="Times New Roman"/>
                <w:b/>
                <w:sz w:val="24"/>
                <w:szCs w:val="24"/>
                <w:lang w:val="ru-RU" w:eastAsia="uk-UA"/>
              </w:rPr>
              <w:t xml:space="preserve">пайових цінних </w:t>
            </w:r>
            <w:r w:rsidR="00D837CF" w:rsidRPr="00EB1DD8">
              <w:rPr>
                <w:rFonts w:ascii="Times New Roman" w:eastAsia="Times New Roman" w:hAnsi="Times New Roman" w:cs="Times New Roman"/>
                <w:b/>
                <w:sz w:val="24"/>
                <w:szCs w:val="24"/>
                <w:lang w:val="ru-RU" w:eastAsia="uk-UA"/>
              </w:rPr>
              <w:lastRenderedPageBreak/>
              <w:t xml:space="preserve">паперів або </w:t>
            </w:r>
            <w:r w:rsidRPr="00EB1DD8">
              <w:rPr>
                <w:rFonts w:ascii="Times New Roman" w:eastAsia="Times New Roman" w:hAnsi="Times New Roman" w:cs="Times New Roman"/>
                <w:b/>
                <w:sz w:val="24"/>
                <w:szCs w:val="24"/>
                <w:lang w:val="ru-RU" w:eastAsia="uk-UA"/>
              </w:rPr>
              <w:t>корпоративних прав</w:t>
            </w:r>
            <w:r w:rsidR="00D837CF" w:rsidRPr="00EB1DD8">
              <w:rPr>
                <w:rFonts w:ascii="Times New Roman" w:eastAsia="Times New Roman" w:hAnsi="Times New Roman" w:cs="Times New Roman"/>
                <w:b/>
                <w:sz w:val="24"/>
                <w:szCs w:val="24"/>
                <w:lang w:val="ru-RU" w:eastAsia="uk-UA"/>
              </w:rPr>
              <w:t>, виражених у інших, ніж цінні папери, формах</w:t>
            </w:r>
            <w:r w:rsidRPr="00EB1DD8">
              <w:rPr>
                <w:rFonts w:ascii="Times New Roman" w:eastAsia="Times New Roman" w:hAnsi="Times New Roman" w:cs="Times New Roman"/>
                <w:b/>
                <w:sz w:val="24"/>
                <w:szCs w:val="24"/>
                <w:lang w:val="ru-RU" w:eastAsia="uk-UA"/>
              </w:rPr>
              <w:t xml:space="preserve">) не притаманний </w:t>
            </w:r>
            <w:r w:rsidRPr="00EB1DD8">
              <w:rPr>
                <w:rFonts w:ascii="Times New Roman" w:eastAsia="Times New Roman" w:hAnsi="Times New Roman" w:cs="Times New Roman"/>
                <w:b/>
                <w:sz w:val="24"/>
                <w:szCs w:val="24"/>
                <w:lang w:eastAsia="uk-UA"/>
              </w:rPr>
              <w:t>кредитний ризик</w:t>
            </w:r>
            <w:r w:rsidR="00652F66" w:rsidRPr="00EB1DD8">
              <w:rPr>
                <w:rFonts w:ascii="Times New Roman" w:eastAsia="Times New Roman" w:hAnsi="Times New Roman" w:cs="Times New Roman"/>
                <w:b/>
                <w:sz w:val="24"/>
                <w:szCs w:val="24"/>
                <w:lang w:eastAsia="uk-UA"/>
              </w:rPr>
              <w:t xml:space="preserve">, оскільки за ними </w:t>
            </w:r>
            <w:r w:rsidR="00076D33" w:rsidRPr="00EB1DD8">
              <w:rPr>
                <w:rFonts w:ascii="Times New Roman" w:eastAsia="Times New Roman" w:hAnsi="Times New Roman" w:cs="Times New Roman"/>
                <w:b/>
                <w:sz w:val="24"/>
                <w:szCs w:val="24"/>
                <w:lang w:eastAsia="uk-UA"/>
              </w:rPr>
              <w:t xml:space="preserve">зазвичай </w:t>
            </w:r>
            <w:r w:rsidR="00652F66" w:rsidRPr="00EB1DD8">
              <w:rPr>
                <w:rFonts w:ascii="Times New Roman" w:eastAsia="Times New Roman" w:hAnsi="Times New Roman" w:cs="Times New Roman"/>
                <w:b/>
                <w:sz w:val="24"/>
                <w:szCs w:val="24"/>
                <w:lang w:eastAsia="uk-UA"/>
              </w:rPr>
              <w:t>не виникає зобов</w:t>
            </w:r>
            <w:r w:rsidR="00652F66" w:rsidRPr="00EB1DD8">
              <w:rPr>
                <w:rFonts w:ascii="Times New Roman" w:eastAsia="Times New Roman" w:hAnsi="Times New Roman" w:cs="Times New Roman"/>
                <w:b/>
                <w:sz w:val="24"/>
                <w:szCs w:val="24"/>
                <w:lang w:val="ru-RU" w:eastAsia="uk-UA"/>
              </w:rPr>
              <w:t>’</w:t>
            </w:r>
            <w:r w:rsidR="00652F66" w:rsidRPr="00EB1DD8">
              <w:rPr>
                <w:rFonts w:ascii="Times New Roman" w:eastAsia="Times New Roman" w:hAnsi="Times New Roman" w:cs="Times New Roman"/>
                <w:b/>
                <w:sz w:val="24"/>
                <w:szCs w:val="24"/>
                <w:lang w:eastAsia="uk-UA"/>
              </w:rPr>
              <w:t>язань у сплаті доходу</w:t>
            </w:r>
            <w:r w:rsidRPr="00EB1DD8">
              <w:rPr>
                <w:rFonts w:ascii="Times New Roman" w:eastAsia="Times New Roman" w:hAnsi="Times New Roman" w:cs="Times New Roman"/>
                <w:b/>
                <w:sz w:val="24"/>
                <w:szCs w:val="24"/>
                <w:lang w:eastAsia="uk-UA"/>
              </w:rPr>
              <w:t>.</w:t>
            </w:r>
          </w:p>
          <w:p w:rsidR="00756F32" w:rsidRPr="00EB1DD8" w:rsidRDefault="00756F32" w:rsidP="00FD3B1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Кома після слова «неемісійні» - зайва.</w:t>
            </w:r>
          </w:p>
          <w:p w:rsidR="00FD3B1E" w:rsidRPr="00EB1DD8" w:rsidRDefault="00FD3B1E" w:rsidP="00FD3B1E">
            <w:pPr>
              <w:shd w:val="clear" w:color="auto" w:fill="FFFFFF"/>
              <w:spacing w:before="150" w:after="0" w:line="240" w:lineRule="auto"/>
              <w:ind w:right="450"/>
              <w:rPr>
                <w:rFonts w:ascii="Times New Roman" w:eastAsia="Times New Roman" w:hAnsi="Times New Roman" w:cs="Times New Roman"/>
                <w:b/>
                <w:bCs/>
                <w:sz w:val="24"/>
                <w:szCs w:val="24"/>
                <w:lang w:eastAsia="uk-UA"/>
              </w:rPr>
            </w:pPr>
          </w:p>
        </w:tc>
        <w:tc>
          <w:tcPr>
            <w:tcW w:w="5405" w:type="dxa"/>
          </w:tcPr>
          <w:p w:rsidR="00FD3B1E" w:rsidRPr="00EB1DD8" w:rsidRDefault="00FD3B1E" w:rsidP="00FD3B1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7. Норматив концентрації кредитного ризику</w:t>
            </w:r>
          </w:p>
          <w:p w:rsidR="00FD3B1E" w:rsidRPr="00EB1DD8" w:rsidRDefault="00FD3B1E" w:rsidP="00FD3B1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1. Норматив концентрації кредитного ризику встановлює обмеження кредитного ризику установи, що може виникнути внаслідок невиконання своїх зобов’язань окремим її контрагентом.</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Для розрахунку нормативу концентрації кредитного ризику контрагентом установи вважається будь-яка особа, </w:t>
            </w:r>
            <w:r w:rsidRPr="00EB1DD8">
              <w:rPr>
                <w:rFonts w:ascii="Times New Roman" w:eastAsia="Times New Roman" w:hAnsi="Times New Roman" w:cs="Times New Roman"/>
                <w:b/>
                <w:sz w:val="24"/>
                <w:szCs w:val="24"/>
                <w:lang w:val="ru-RU" w:eastAsia="uk-UA"/>
              </w:rPr>
              <w:t>яка має зобов</w:t>
            </w:r>
            <w:r w:rsidRPr="00EB1DD8">
              <w:rPr>
                <w:rFonts w:ascii="Times New Roman" w:eastAsia="Times New Roman" w:hAnsi="Times New Roman" w:cs="Times New Roman"/>
                <w:b/>
                <w:sz w:val="24"/>
                <w:szCs w:val="24"/>
                <w:lang w:eastAsia="uk-UA"/>
              </w:rPr>
              <w:t>’</w:t>
            </w:r>
            <w:r w:rsidRPr="00EB1DD8">
              <w:rPr>
                <w:rFonts w:ascii="Times New Roman" w:eastAsia="Times New Roman" w:hAnsi="Times New Roman" w:cs="Times New Roman"/>
                <w:b/>
                <w:sz w:val="24"/>
                <w:szCs w:val="24"/>
                <w:lang w:val="ru-RU" w:eastAsia="uk-UA"/>
              </w:rPr>
              <w:t>язання перед установою за позиціями в активах</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установи, визначени</w:t>
            </w:r>
            <w:r w:rsidRPr="00EB1DD8">
              <w:rPr>
                <w:rFonts w:ascii="Times New Roman" w:eastAsia="Times New Roman" w:hAnsi="Times New Roman" w:cs="Times New Roman"/>
                <w:sz w:val="24"/>
                <w:szCs w:val="24"/>
                <w:lang w:val="ru-RU" w:eastAsia="uk-UA"/>
              </w:rPr>
              <w:t>х</w:t>
            </w:r>
            <w:r w:rsidRPr="00EB1DD8">
              <w:rPr>
                <w:rFonts w:ascii="Times New Roman" w:eastAsia="Times New Roman" w:hAnsi="Times New Roman" w:cs="Times New Roman"/>
                <w:sz w:val="24"/>
                <w:szCs w:val="24"/>
                <w:lang w:eastAsia="uk-UA"/>
              </w:rPr>
              <w:t> </w:t>
            </w:r>
            <w:hyperlink r:id="rId12" w:anchor="n557" w:history="1">
              <w:r w:rsidRPr="00EB1DD8">
                <w:rPr>
                  <w:rFonts w:ascii="Times New Roman" w:eastAsia="Times New Roman" w:hAnsi="Times New Roman" w:cs="Times New Roman"/>
                  <w:sz w:val="24"/>
                  <w:szCs w:val="24"/>
                  <w:lang w:eastAsia="uk-UA"/>
                </w:rPr>
                <w:t>пунктом 5</w:t>
              </w:r>
            </w:hyperlink>
            <w:r w:rsidRPr="00EB1DD8">
              <w:rPr>
                <w:rFonts w:ascii="Times New Roman" w:eastAsia="Times New Roman" w:hAnsi="Times New Roman" w:cs="Times New Roman"/>
                <w:sz w:val="24"/>
                <w:szCs w:val="24"/>
                <w:lang w:eastAsia="uk-UA"/>
              </w:rPr>
              <w:t> цієї глави.</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Норматив концентрації кредитного ризику визначається окремо щодо кожного контрагента установи як відношення суми всіх її активів, </w:t>
            </w:r>
            <w:r w:rsidRPr="00EB1DD8">
              <w:rPr>
                <w:rFonts w:ascii="Times New Roman" w:hAnsi="Times New Roman" w:cs="Times New Roman"/>
                <w:b/>
                <w:sz w:val="24"/>
                <w:szCs w:val="24"/>
              </w:rPr>
              <w:t xml:space="preserve">за якими </w:t>
            </w:r>
            <w:r w:rsidRPr="00EB1DD8">
              <w:rPr>
                <w:rFonts w:ascii="Times New Roman" w:hAnsi="Times New Roman" w:cs="Times New Roman"/>
                <w:b/>
                <w:sz w:val="24"/>
                <w:szCs w:val="24"/>
                <w:lang w:val="ru-RU"/>
              </w:rPr>
              <w:t xml:space="preserve">такий </w:t>
            </w:r>
            <w:r w:rsidRPr="00EB1DD8">
              <w:rPr>
                <w:rFonts w:ascii="Times New Roman" w:hAnsi="Times New Roman" w:cs="Times New Roman"/>
                <w:b/>
                <w:sz w:val="24"/>
                <w:szCs w:val="24"/>
              </w:rPr>
              <w:t>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до розміру її регулятивного капіталу.</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Норматив концентрації кредитного ризику розраховується за формулою</w:t>
            </w:r>
          </w:p>
          <w:p w:rsidR="00FD3B1E" w:rsidRPr="00EB1DD8" w:rsidRDefault="00FD3B1E" w:rsidP="00FD3B1E">
            <w:pPr>
              <w:shd w:val="clear" w:color="auto" w:fill="FFFFFF"/>
              <w:spacing w:after="150" w:line="240" w:lineRule="auto"/>
              <w:ind w:firstLine="450"/>
              <w:jc w:val="center"/>
              <w:rPr>
                <w:b/>
              </w:rPr>
            </w:pPr>
            <w:r w:rsidRPr="00EB1DD8">
              <w:rPr>
                <w:b/>
                <w:position w:val="-42"/>
              </w:rPr>
              <w:object w:dxaOrig="3620" w:dyaOrig="820">
                <v:shape id="_x0000_i1026" type="#_x0000_t75" style="width:181.55pt;height:41.3pt" o:ole="">
                  <v:imagedata r:id="rId10" o:title=""/>
                </v:shape>
                <o:OLEObject Type="Embed" ProgID="Equation.3" ShapeID="_x0000_i1026" DrawAspect="Content" ObjectID="_1689505252" r:id="rId13"/>
              </w:object>
            </w:r>
          </w:p>
          <w:p w:rsidR="00FD3B1E" w:rsidRPr="00EB1DD8" w:rsidRDefault="00FD3B1E" w:rsidP="00FD3B1E">
            <w:pPr>
              <w:shd w:val="clear" w:color="auto" w:fill="FFFFFF"/>
              <w:tabs>
                <w:tab w:val="left" w:pos="5341"/>
              </w:tabs>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де</w:t>
            </w:r>
            <w:r w:rsidRPr="00EB1DD8">
              <w:rPr>
                <w:rFonts w:ascii="Times New Roman" w:eastAsia="Times New Roman" w:hAnsi="Times New Roman" w:cs="Times New Roman"/>
                <w:sz w:val="24"/>
                <w:szCs w:val="24"/>
                <w:lang w:eastAsia="uk-UA"/>
              </w:rPr>
              <w:tab/>
            </w:r>
          </w:p>
          <w:tbl>
            <w:tblPr>
              <w:tblW w:w="5000" w:type="pct"/>
              <w:tblCellMar>
                <w:left w:w="0" w:type="dxa"/>
                <w:right w:w="0" w:type="dxa"/>
              </w:tblCellMar>
              <w:tblLook w:val="04A0" w:firstRow="1" w:lastRow="0" w:firstColumn="1" w:lastColumn="0" w:noHBand="0" w:noVBand="1"/>
            </w:tblPr>
            <w:tblGrid>
              <w:gridCol w:w="206"/>
              <w:gridCol w:w="390"/>
              <w:gridCol w:w="153"/>
              <w:gridCol w:w="4434"/>
            </w:tblGrid>
            <w:tr w:rsidR="00FD3B1E" w:rsidRPr="00EB1DD8" w:rsidTr="003D70DB">
              <w:tc>
                <w:tcPr>
                  <w:tcW w:w="540"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rPr>
                      <w:rFonts w:ascii="Times New Roman" w:eastAsia="Times New Roman" w:hAnsi="Times New Roman" w:cs="Times New Roman"/>
                      <w:sz w:val="24"/>
                      <w:szCs w:val="24"/>
                      <w:lang w:eastAsia="uk-UA"/>
                    </w:rPr>
                  </w:pPr>
                </w:p>
              </w:tc>
              <w:tc>
                <w:tcPr>
                  <w:tcW w:w="660"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А</w:t>
                  </w:r>
                  <w:r w:rsidRPr="00EB1DD8">
                    <w:rPr>
                      <w:rFonts w:ascii="Times New Roman" w:eastAsia="Times New Roman" w:hAnsi="Times New Roman" w:cs="Times New Roman"/>
                      <w:b/>
                      <w:bCs/>
                      <w:sz w:val="16"/>
                      <w:szCs w:val="16"/>
                      <w:vertAlign w:val="subscript"/>
                      <w:lang w:eastAsia="uk-UA"/>
                    </w:rPr>
                    <w:t>k</w:t>
                  </w:r>
                </w:p>
              </w:tc>
              <w:tc>
                <w:tcPr>
                  <w:tcW w:w="270"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9645"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сума всіх активів установи, </w:t>
                  </w:r>
                  <w:r w:rsidRPr="00EB1DD8">
                    <w:rPr>
                      <w:rFonts w:ascii="Times New Roman" w:eastAsia="Times New Roman" w:hAnsi="Times New Roman" w:cs="Times New Roman"/>
                      <w:b/>
                      <w:sz w:val="24"/>
                      <w:szCs w:val="24"/>
                      <w:lang w:val="ru-RU" w:eastAsia="uk-UA"/>
                    </w:rPr>
                    <w:t>за якими</w:t>
                  </w:r>
                  <w:r w:rsidRPr="00EB1DD8">
                    <w:rPr>
                      <w:rFonts w:ascii="Times New Roman" w:eastAsia="Times New Roman" w:hAnsi="Times New Roman" w:cs="Times New Roman"/>
                      <w:b/>
                      <w:sz w:val="24"/>
                      <w:szCs w:val="24"/>
                      <w:lang w:eastAsia="uk-UA"/>
                    </w:rPr>
                    <w:t xml:space="preserve"> k-</w:t>
                  </w:r>
                  <w:r w:rsidRPr="00EB1DD8">
                    <w:rPr>
                      <w:rFonts w:ascii="Times New Roman" w:eastAsia="Times New Roman" w:hAnsi="Times New Roman" w:cs="Times New Roman"/>
                      <w:b/>
                      <w:sz w:val="24"/>
                      <w:szCs w:val="24"/>
                      <w:lang w:val="ru-RU" w:eastAsia="uk-UA"/>
                    </w:rPr>
                    <w:t>ий</w:t>
                  </w:r>
                  <w:r w:rsidRPr="00EB1DD8">
                    <w:rPr>
                      <w:rFonts w:ascii="Times New Roman" w:eastAsia="Times New Roman" w:hAnsi="Times New Roman" w:cs="Times New Roman"/>
                      <w:b/>
                      <w:sz w:val="24"/>
                      <w:szCs w:val="24"/>
                      <w:lang w:eastAsia="uk-UA"/>
                    </w:rPr>
                    <w:t xml:space="preserve"> контрагент</w:t>
                  </w:r>
                  <w:r w:rsidRPr="00EB1DD8">
                    <w:rPr>
                      <w:rFonts w:ascii="Times New Roman" w:eastAsia="Times New Roman" w:hAnsi="Times New Roman" w:cs="Times New Roman"/>
                      <w:b/>
                      <w:sz w:val="24"/>
                      <w:szCs w:val="24"/>
                      <w:lang w:val="ru-RU" w:eastAsia="uk-UA"/>
                    </w:rPr>
                    <w:t xml:space="preserve"> </w:t>
                  </w:r>
                  <w:r w:rsidRPr="00EB1DD8">
                    <w:rPr>
                      <w:rFonts w:ascii="Times New Roman" w:hAnsi="Times New Roman" w:cs="Times New Roman"/>
                      <w:b/>
                      <w:sz w:val="24"/>
                      <w:szCs w:val="24"/>
                    </w:rPr>
                    <w:t>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w:t>
                  </w:r>
                </w:p>
              </w:tc>
            </w:tr>
          </w:tbl>
          <w:p w:rsidR="00FD3B1E" w:rsidRPr="00EB1DD8" w:rsidRDefault="00FD3B1E" w:rsidP="00FD3B1E">
            <w:pPr>
              <w:shd w:val="clear" w:color="auto" w:fill="FFFFFF"/>
              <w:spacing w:before="120"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5. До активів, </w:t>
            </w:r>
            <w:r w:rsidRPr="00EB1DD8">
              <w:rPr>
                <w:rFonts w:ascii="Times New Roman" w:hAnsi="Times New Roman" w:cs="Times New Roman"/>
                <w:b/>
                <w:sz w:val="24"/>
                <w:szCs w:val="24"/>
              </w:rPr>
              <w:t>за якими 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належать:</w:t>
            </w:r>
          </w:p>
          <w:p w:rsidR="00D837CF" w:rsidRPr="00EB1DD8" w:rsidRDefault="00D837CF" w:rsidP="00FD3B1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(видалити)</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lastRenderedPageBreak/>
              <w:t>емсійні/неемісійні боргові цінні папери, випущені/видані контрагентом,</w:t>
            </w:r>
            <w:r w:rsidRPr="00EB1DD8">
              <w:rPr>
                <w:rFonts w:ascii="Times New Roman" w:eastAsia="Times New Roman" w:hAnsi="Times New Roman" w:cs="Times New Roman"/>
                <w:sz w:val="24"/>
                <w:szCs w:val="24"/>
                <w:lang w:eastAsia="uk-UA"/>
              </w:rPr>
              <w:t xml:space="preserve">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заборгованість контргента перед установою, у тому числі</w:t>
            </w:r>
            <w:r w:rsidRPr="00EB1DD8">
              <w:rPr>
                <w:rFonts w:ascii="Times New Roman" w:eastAsia="Times New Roman" w:hAnsi="Times New Roman" w:cs="Times New Roman"/>
                <w:sz w:val="24"/>
                <w:szCs w:val="24"/>
                <w:lang w:eastAsia="uk-UA"/>
              </w:rPr>
              <w:t xml:space="preserve"> дебіторська заборгованість;</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грошові кошти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на поточних рахунках та депозити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в банках, а також доходи, нараховані за ними.</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6. Установа розраховує значення нормативу концентрації кредитного ризику щодо кожного контрагента (крім особи, </w:t>
            </w:r>
            <w:r w:rsidRPr="00EB1DD8">
              <w:rPr>
                <w:rFonts w:ascii="Times New Roman" w:eastAsia="Times New Roman" w:hAnsi="Times New Roman" w:cs="Times New Roman"/>
                <w:b/>
                <w:sz w:val="24"/>
                <w:szCs w:val="24"/>
                <w:lang w:eastAsia="uk-UA"/>
              </w:rPr>
              <w:t>яка</w:t>
            </w:r>
            <w:r w:rsidRPr="00EB1DD8">
              <w:rPr>
                <w:rFonts w:ascii="Times New Roman" w:eastAsia="Times New Roman" w:hAnsi="Times New Roman" w:cs="Times New Roman"/>
                <w:sz w:val="24"/>
                <w:szCs w:val="24"/>
                <w:lang w:eastAsia="uk-UA"/>
              </w:rPr>
              <w:t xml:space="preserve"> провадить клірингову діяльність) і подає до Комісії інформацію про результати такого розрахунку, дані, на основі яких здійснювався розрахунок, та відомості про контрагентів у разі, якщо значення нормативу концентрації кредитного ризику щодо певного контрагента перевищує нормативне значення.</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У разі відсутності жодного контрагента, значення нормативу концентрації кредитного ризику щодо якого перевищує нормативне значення, до Комісії подається відповідна інформація стосовно розрахунку нормативу за </w:t>
            </w:r>
            <w:r w:rsidRPr="00EB1DD8">
              <w:rPr>
                <w:rFonts w:ascii="Times New Roman" w:eastAsia="Times New Roman" w:hAnsi="Times New Roman" w:cs="Times New Roman"/>
                <w:sz w:val="24"/>
                <w:szCs w:val="24"/>
                <w:lang w:eastAsia="uk-UA"/>
              </w:rPr>
              <w:lastRenderedPageBreak/>
              <w:t xml:space="preserve">одним контрагентом, що не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xml:space="preserve">, та за одним контрагентом,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значення нормативу концентрації кредитного ризику щодо яких є максимальним.</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7. Нормативне значення нормативу концентрації кредитного ризику щодо окремого контрагента, крім банків та </w:t>
            </w:r>
            <w:r w:rsidRPr="00EB1DD8">
              <w:rPr>
                <w:rFonts w:ascii="Times New Roman" w:eastAsia="Times New Roman" w:hAnsi="Times New Roman" w:cs="Times New Roman"/>
                <w:b/>
                <w:sz w:val="24"/>
                <w:szCs w:val="24"/>
                <w:lang w:eastAsia="uk-UA"/>
              </w:rPr>
              <w:t>інвестиційних фірм</w:t>
            </w:r>
            <w:r w:rsidRPr="00EB1DD8">
              <w:rPr>
                <w:rFonts w:ascii="Times New Roman" w:eastAsia="Times New Roman" w:hAnsi="Times New Roman" w:cs="Times New Roman"/>
                <w:sz w:val="24"/>
                <w:szCs w:val="24"/>
                <w:lang w:eastAsia="uk-UA"/>
              </w:rPr>
              <w:t>, становить не більше 25%. При цьому значення нормативу концентрації кредитного ризику щодо окремого контрагента не має бути від’ємним.</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8. Нормативне значення нормативу концентрації кредитного ризику щодо окремого контрагента,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становить не більше 100%. При цьому значення нормативу концентрації кредитного ризику щодо окремого контрагента не має бути від’ємним.</w:t>
            </w:r>
          </w:p>
          <w:p w:rsidR="001A33D5" w:rsidRPr="00EB1DD8" w:rsidRDefault="001A33D5"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tc>
      </w:tr>
      <w:tr w:rsidR="00491A64" w:rsidRPr="00EB1DD8" w:rsidTr="0018386F">
        <w:trPr>
          <w:trHeight w:val="554"/>
        </w:trPr>
        <w:tc>
          <w:tcPr>
            <w:tcW w:w="5527" w:type="dxa"/>
          </w:tcPr>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lastRenderedPageBreak/>
              <w:t>ІІІ. Пруденційні нормативи, що використовуються для вимірювання та оцінки ризиків діяльності з управління активами інституційних інвесторів (діяльність з управління активами), їх розрахунок та нормативні значення</w:t>
            </w:r>
          </w:p>
          <w:p w:rsidR="00491A64" w:rsidRPr="00EB1DD8" w:rsidRDefault="00491A64" w:rsidP="00491A64">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t>1. Показники, що використовуються для вимірювання та оцінки ризиків діяльності з управління активами інституційних інвесторів (діяльність з управління активами)</w:t>
            </w:r>
          </w:p>
          <w:p w:rsidR="00491A64" w:rsidRPr="00EB1DD8" w:rsidRDefault="00491A64" w:rsidP="00491A64">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756F32" w:rsidRPr="00EB1DD8" w:rsidRDefault="00756F32"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1. Для вимірювання та оцінки ризиків діяльності з управління активами використовуються такі показники:</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коефіцієнт покриття операційного ризику;</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sz w:val="24"/>
                <w:szCs w:val="24"/>
                <w:lang w:eastAsia="uk-UA"/>
              </w:rPr>
              <w:t>4) коефіцієнт фінансової стійкості</w:t>
            </w:r>
            <w:r w:rsidRPr="00EB1DD8">
              <w:rPr>
                <w:rFonts w:ascii="Times New Roman" w:eastAsia="Times New Roman" w:hAnsi="Times New Roman" w:cs="Times New Roman"/>
                <w:b/>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5) норматив концентрації кредитного ризику.</w:t>
            </w: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w:t>
            </w:r>
            <w:r w:rsidRPr="00EB1DD8">
              <w:rPr>
                <w:rFonts w:ascii="Times New Roman" w:eastAsia="Times New Roman" w:hAnsi="Times New Roman" w:cs="Times New Roman"/>
                <w:b/>
                <w:noProof w:val="0"/>
                <w:sz w:val="24"/>
                <w:szCs w:val="24"/>
                <w:lang w:eastAsia="uk-UA"/>
              </w:rPr>
              <w:t xml:space="preserve">компанії з управління активами (далі - Компанія) </w:t>
            </w:r>
            <w:r w:rsidRPr="00EB1DD8">
              <w:rPr>
                <w:rFonts w:ascii="Times New Roman" w:eastAsia="Times New Roman" w:hAnsi="Times New Roman" w:cs="Times New Roman"/>
                <w:sz w:val="24"/>
                <w:szCs w:val="24"/>
                <w:lang w:eastAsia="uk-UA"/>
              </w:rPr>
              <w:t xml:space="preserve">до закінчення першого повного фінансового року з дати видачі ліцензії в разі, якщо такі Компанії вперше отримали ліцензію на провадження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 xml:space="preserve"> - діяльності з управління активами інституційних інвесторів (діяльності з управління активами).</w:t>
            </w:r>
          </w:p>
        </w:tc>
        <w:tc>
          <w:tcPr>
            <w:tcW w:w="4945" w:type="dxa"/>
          </w:tcPr>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756F32" w:rsidRPr="00EB1DD8" w:rsidRDefault="00756F32"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18386F" w:rsidRPr="00EB1DD8" w:rsidRDefault="00491A64" w:rsidP="00491A64">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eastAsia="Times New Roman" w:hAnsi="Times New Roman" w:cs="Times New Roman"/>
                <w:b/>
                <w:sz w:val="24"/>
                <w:szCs w:val="24"/>
                <w:lang w:eastAsia="uk-UA"/>
              </w:rPr>
              <w:t xml:space="preserve">Цей показник є зайвим для КУА. </w:t>
            </w:r>
            <w:r w:rsidRPr="00EB1DD8">
              <w:rPr>
                <w:rFonts w:ascii="Times New Roman" w:hAnsi="Times New Roman" w:cs="Times New Roman"/>
                <w:b/>
                <w:sz w:val="24"/>
                <w:szCs w:val="24"/>
              </w:rPr>
              <w:t>У Положенні № 1597</w:t>
            </w:r>
            <w:r w:rsidRPr="00EB1DD8">
              <w:rPr>
                <w:rFonts w:ascii="Times New Roman" w:hAnsi="Times New Roman" w:cs="Times New Roman"/>
                <w:sz w:val="24"/>
                <w:szCs w:val="24"/>
              </w:rPr>
              <w:t xml:space="preserve"> </w:t>
            </w:r>
            <w:r w:rsidRPr="00EB1DD8">
              <w:rPr>
                <w:rFonts w:ascii="Times New Roman" w:hAnsi="Times New Roman" w:cs="Times New Roman"/>
                <w:b/>
                <w:sz w:val="24"/>
                <w:szCs w:val="24"/>
              </w:rPr>
              <w:t>вже є пруденційні показники для КУА, достатні для пруденційного нагляду за їхньою діяльністю</w:t>
            </w:r>
            <w:r w:rsidRPr="00EB1DD8">
              <w:rPr>
                <w:rFonts w:ascii="Times New Roman" w:hAnsi="Times New Roman" w:cs="Times New Roman"/>
                <w:b/>
                <w:color w:val="000000"/>
                <w:sz w:val="24"/>
                <w:szCs w:val="24"/>
              </w:rPr>
              <w:t xml:space="preserve"> і передбачені Директивами ЄС, які регулюють їхню діяльність</w:t>
            </w:r>
            <w:r w:rsidRPr="00EB1DD8">
              <w:rPr>
                <w:rFonts w:ascii="Times New Roman" w:hAnsi="Times New Roman" w:cs="Times New Roman"/>
                <w:b/>
                <w:sz w:val="24"/>
                <w:szCs w:val="24"/>
              </w:rPr>
              <w:t xml:space="preserve">, а саме: </w:t>
            </w:r>
            <w:r w:rsidRPr="00EB1DD8">
              <w:rPr>
                <w:rFonts w:ascii="Times New Roman" w:hAnsi="Times New Roman" w:cs="Times New Roman"/>
                <w:b/>
                <w:color w:val="000000"/>
                <w:sz w:val="24"/>
                <w:szCs w:val="24"/>
              </w:rPr>
              <w:t xml:space="preserve">розмір власних коштів (регулятивного капіталу) та </w:t>
            </w:r>
            <w:r w:rsidRPr="00EB1DD8">
              <w:rPr>
                <w:rFonts w:ascii="Times New Roman" w:hAnsi="Times New Roman" w:cs="Times New Roman"/>
                <w:b/>
                <w:sz w:val="24"/>
                <w:szCs w:val="24"/>
              </w:rPr>
              <w:t>норматив достатності власних коштів</w:t>
            </w:r>
            <w:r w:rsidRPr="00EB1DD8">
              <w:rPr>
                <w:rFonts w:ascii="Times New Roman" w:hAnsi="Times New Roman" w:cs="Times New Roman"/>
                <w:b/>
                <w:sz w:val="24"/>
                <w:szCs w:val="24"/>
                <w:lang w:eastAsia="uk-UA"/>
              </w:rPr>
              <w:t xml:space="preserve">. </w:t>
            </w:r>
            <w:r w:rsidRPr="00EB1DD8">
              <w:rPr>
                <w:rFonts w:ascii="Times New Roman" w:hAnsi="Times New Roman" w:cs="Times New Roman"/>
                <w:b/>
                <w:color w:val="000000"/>
                <w:sz w:val="24"/>
                <w:szCs w:val="24"/>
              </w:rPr>
              <w:t xml:space="preserve">Застосування вимог Регламентів ЄС чи інших документів, які регламентують діяльність банків та кредитних установ (зокрема, </w:t>
            </w:r>
            <w:r w:rsidR="002A7214" w:rsidRPr="00EB1DD8">
              <w:rPr>
                <w:rFonts w:ascii="Times New Roman" w:hAnsi="Times New Roman" w:cs="Times New Roman"/>
                <w:b/>
                <w:color w:val="000000"/>
                <w:sz w:val="24"/>
                <w:szCs w:val="24"/>
              </w:rPr>
              <w:t xml:space="preserve">пакету </w:t>
            </w:r>
            <w:r w:rsidRPr="00EB1DD8">
              <w:rPr>
                <w:rFonts w:ascii="Times New Roman" w:hAnsi="Times New Roman" w:cs="Times New Roman"/>
                <w:b/>
                <w:color w:val="000000"/>
                <w:sz w:val="24"/>
                <w:szCs w:val="24"/>
              </w:rPr>
              <w:t xml:space="preserve">CRD </w:t>
            </w:r>
            <w:r w:rsidRPr="00EB1DD8">
              <w:rPr>
                <w:rFonts w:ascii="Times New Roman" w:hAnsi="Times New Roman" w:cs="Times New Roman"/>
                <w:b/>
                <w:color w:val="000000"/>
                <w:sz w:val="24"/>
                <w:szCs w:val="24"/>
                <w:lang w:val="en-US"/>
              </w:rPr>
              <w:t>IV</w:t>
            </w:r>
            <w:r w:rsidRPr="00EB1DD8">
              <w:rPr>
                <w:rFonts w:ascii="Times New Roman" w:hAnsi="Times New Roman" w:cs="Times New Roman"/>
                <w:b/>
                <w:color w:val="000000"/>
                <w:sz w:val="24"/>
                <w:szCs w:val="24"/>
              </w:rPr>
              <w:t xml:space="preserve">), що виходять за межі окремих статей, на які посилаються спеціальні Директиви, що регламентують діяльність з управління активами, і понад уже запроваджені додаткові нормативи (у цьому випадку – </w:t>
            </w:r>
            <w:r w:rsidRPr="00EB1DD8">
              <w:rPr>
                <w:rFonts w:ascii="Times New Roman" w:hAnsi="Times New Roman" w:cs="Times New Roman"/>
                <w:b/>
                <w:bCs/>
                <w:sz w:val="24"/>
                <w:szCs w:val="24"/>
                <w:lang w:eastAsia="uk-UA"/>
              </w:rPr>
              <w:t xml:space="preserve">коефіцієнт </w:t>
            </w:r>
            <w:r w:rsidRPr="00EB1DD8">
              <w:rPr>
                <w:rFonts w:ascii="Times New Roman" w:hAnsi="Times New Roman" w:cs="Times New Roman"/>
                <w:b/>
                <w:sz w:val="24"/>
                <w:szCs w:val="24"/>
                <w:lang w:eastAsia="uk-UA"/>
              </w:rPr>
              <w:t>покриття операційного ризику</w:t>
            </w:r>
            <w:r w:rsidRPr="00EB1DD8">
              <w:rPr>
                <w:rFonts w:ascii="Times New Roman" w:hAnsi="Times New Roman" w:cs="Times New Roman"/>
                <w:b/>
                <w:color w:val="000000"/>
                <w:sz w:val="24"/>
                <w:szCs w:val="24"/>
              </w:rPr>
              <w:t>)</w:t>
            </w:r>
            <w:r w:rsidR="00C537B5" w:rsidRPr="00EB1DD8">
              <w:rPr>
                <w:rFonts w:ascii="Times New Roman" w:hAnsi="Times New Roman" w:cs="Times New Roman"/>
                <w:b/>
                <w:color w:val="000000"/>
                <w:sz w:val="24"/>
                <w:szCs w:val="24"/>
              </w:rPr>
              <w:t xml:space="preserve">, є некоректним і </w:t>
            </w:r>
            <w:r w:rsidR="0018386F" w:rsidRPr="00EB1DD8">
              <w:rPr>
                <w:rFonts w:ascii="Times New Roman" w:hAnsi="Times New Roman" w:cs="Times New Roman"/>
                <w:b/>
                <w:color w:val="000000"/>
                <w:sz w:val="24"/>
                <w:szCs w:val="24"/>
              </w:rPr>
              <w:t xml:space="preserve">недоцільним, адже діяльність КУА принципово відрізняється від діяльності банків та інвестиційних фірм, зокрема, тим, що перші мають окремий баланс від фондів в управлінні та </w:t>
            </w:r>
            <w:r w:rsidR="0018386F" w:rsidRPr="00EB1DD8">
              <w:rPr>
                <w:rFonts w:ascii="Times New Roman" w:hAnsi="Times New Roman" w:cs="Times New Roman"/>
                <w:b/>
                <w:color w:val="000000"/>
                <w:sz w:val="24"/>
                <w:szCs w:val="24"/>
              </w:rPr>
              <w:lastRenderedPageBreak/>
              <w:t>не відповідають за фінансовими зобов’язаннями цих фондів.</w:t>
            </w:r>
          </w:p>
          <w:p w:rsidR="00491A64" w:rsidRPr="00EB1DD8" w:rsidRDefault="0018386F" w:rsidP="0018386F">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hAnsi="Times New Roman" w:cs="Times New Roman"/>
                <w:b/>
                <w:color w:val="000000"/>
                <w:sz w:val="24"/>
                <w:szCs w:val="24"/>
              </w:rPr>
              <w:t xml:space="preserve">Крім того, воно </w:t>
            </w:r>
            <w:r w:rsidR="00491A64" w:rsidRPr="00EB1DD8">
              <w:rPr>
                <w:rFonts w:ascii="Times New Roman" w:hAnsi="Times New Roman" w:cs="Times New Roman"/>
                <w:b/>
                <w:color w:val="000000"/>
                <w:sz w:val="24"/>
                <w:szCs w:val="24"/>
              </w:rPr>
              <w:t xml:space="preserve">загрожує нормальному функціонуванню ринку, особливо в нинішніх кризових умовах. </w:t>
            </w:r>
            <w:r w:rsidR="00491A64" w:rsidRPr="00EB1DD8">
              <w:rPr>
                <w:rFonts w:ascii="Times New Roman" w:hAnsi="Times New Roman" w:cs="Times New Roman"/>
                <w:b/>
                <w:sz w:val="24"/>
                <w:szCs w:val="24"/>
              </w:rPr>
              <w:t xml:space="preserve">Розрахунок і контроль показників тих чи інших видів ризику має визначатися специфікою бізнесу і складом активів конкретного профучасника, його стратегією та політиками управління ризиками, </w:t>
            </w:r>
            <w:r w:rsidR="00491A64" w:rsidRPr="00EB1DD8">
              <w:rPr>
                <w:rFonts w:ascii="Times New Roman" w:hAnsi="Times New Roman" w:cs="Times New Roman"/>
                <w:b/>
                <w:color w:val="000000"/>
                <w:sz w:val="24"/>
                <w:szCs w:val="24"/>
              </w:rPr>
              <w:t>виходячи з того, які ризики є суттєвими для нього. Про це йде мова у тому числі і в законодавстві ЄС.</w:t>
            </w:r>
          </w:p>
        </w:tc>
        <w:tc>
          <w:tcPr>
            <w:tcW w:w="5405" w:type="dxa"/>
          </w:tcPr>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lastRenderedPageBreak/>
              <w:t>ІІІ. Пруденційні нормативи, що використовуються для вимірювання та оцінки ризиків діяльності з управління активами інституційних інвесторів (діяльність з управління активами), їх розрахунок та нормативні значення</w:t>
            </w:r>
          </w:p>
          <w:p w:rsidR="00491A64" w:rsidRPr="00EB1DD8" w:rsidRDefault="00491A64" w:rsidP="00491A64">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t>1. Показники, що використовуються для вимірювання та оцінки ризиків діяльності з управління активами інституційних інвесторів (діяльність з управління активами)</w:t>
            </w:r>
          </w:p>
          <w:p w:rsidR="00491A64" w:rsidRPr="00EB1DD8" w:rsidRDefault="00491A64" w:rsidP="00491A64">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1. Для вимірювання та оцінки ризиків діяльності з управління активами використовуються такі показники:</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коефіцієнт покриття операційного ризику;</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sz w:val="24"/>
                <w:szCs w:val="24"/>
                <w:lang w:eastAsia="uk-UA"/>
              </w:rPr>
              <w:t>4) коефіцієнт фінансової стійкості</w:t>
            </w:r>
            <w:r w:rsidRPr="00EB1DD8">
              <w:rPr>
                <w:rFonts w:ascii="Times New Roman" w:eastAsia="Times New Roman" w:hAnsi="Times New Roman" w:cs="Times New Roman"/>
                <w:b/>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w:t>
            </w:r>
            <w:r w:rsidRPr="00EB1DD8">
              <w:rPr>
                <w:rFonts w:ascii="Times New Roman" w:eastAsia="Times New Roman" w:hAnsi="Times New Roman" w:cs="Times New Roman"/>
                <w:b/>
                <w:noProof w:val="0"/>
                <w:sz w:val="24"/>
                <w:szCs w:val="24"/>
                <w:lang w:eastAsia="uk-UA"/>
              </w:rPr>
              <w:t xml:space="preserve">компанії з управління активами (далі - Компанія) </w:t>
            </w:r>
            <w:r w:rsidRPr="00EB1DD8">
              <w:rPr>
                <w:rFonts w:ascii="Times New Roman" w:eastAsia="Times New Roman" w:hAnsi="Times New Roman" w:cs="Times New Roman"/>
                <w:sz w:val="24"/>
                <w:szCs w:val="24"/>
                <w:lang w:eastAsia="uk-UA"/>
              </w:rPr>
              <w:t xml:space="preserve">до закінчення першого повного фінансового року з дати видачі ліцензії в разі, якщо такі Компанії вперше отримали ліцензію на провадження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 xml:space="preserve"> - діяльності з управління активами інституційних інвесторів (діяльності з управління активами).</w:t>
            </w:r>
          </w:p>
        </w:tc>
      </w:tr>
      <w:tr w:rsidR="00491A64" w:rsidRPr="00EB1DD8" w:rsidTr="0018386F">
        <w:trPr>
          <w:trHeight w:val="554"/>
        </w:trPr>
        <w:tc>
          <w:tcPr>
            <w:tcW w:w="5527" w:type="dxa"/>
          </w:tcPr>
          <w:p w:rsidR="00491A64" w:rsidRPr="00EB1DD8" w:rsidRDefault="00491A64"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 xml:space="preserve">2. Розмір </w:t>
            </w:r>
            <w:r w:rsidRPr="00EB1DD8">
              <w:rPr>
                <w:rFonts w:ascii="Times New Roman" w:eastAsia="Times New Roman" w:hAnsi="Times New Roman" w:cs="Times New Roman"/>
                <w:b/>
                <w:sz w:val="24"/>
                <w:szCs w:val="24"/>
                <w:lang w:eastAsia="uk-UA"/>
              </w:rPr>
              <w:t>регулятивного капіталу</w:t>
            </w:r>
          </w:p>
          <w:p w:rsidR="00491A64" w:rsidRPr="00EB1DD8" w:rsidRDefault="00491A64" w:rsidP="00491A64">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sz w:val="24"/>
                <w:szCs w:val="24"/>
                <w:lang w:eastAsia="uk-UA"/>
              </w:rPr>
              <w:t xml:space="preserve"> є коштами, які Компанія може використовувати на покриття негативних фінансових наслідків реалізації ризиків, що виникають при провадженні нею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 xml:space="preserve">2.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егулятивни</w:t>
            </w:r>
            <w:r w:rsidRPr="00EB1DD8">
              <w:rPr>
                <w:rFonts w:ascii="Times New Roman" w:eastAsia="Times New Roman" w:hAnsi="Times New Roman" w:cs="Times New Roman"/>
                <w:b/>
                <w:sz w:val="24"/>
                <w:szCs w:val="24"/>
                <w:lang w:val="ru-RU" w:eastAsia="uk-UA"/>
              </w:rPr>
              <w:t>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sz w:val="24"/>
                <w:szCs w:val="24"/>
                <w:lang w:eastAsia="uk-UA"/>
              </w:rPr>
              <w:t xml:space="preserve"> розрахову</w:t>
            </w:r>
            <w:r w:rsidRPr="00EB1DD8">
              <w:rPr>
                <w:rFonts w:ascii="Times New Roman" w:eastAsia="Times New Roman" w:hAnsi="Times New Roman" w:cs="Times New Roman"/>
                <w:b/>
                <w:sz w:val="24"/>
                <w:szCs w:val="24"/>
                <w:lang w:val="ru-RU" w:eastAsia="uk-UA"/>
              </w:rPr>
              <w:t>є</w:t>
            </w:r>
            <w:r w:rsidRPr="00EB1DD8">
              <w:rPr>
                <w:rFonts w:ascii="Times New Roman" w:eastAsia="Times New Roman" w:hAnsi="Times New Roman" w:cs="Times New Roman"/>
                <w:sz w:val="24"/>
                <w:szCs w:val="24"/>
                <w:lang w:eastAsia="uk-UA"/>
              </w:rPr>
              <w:t>ться в порядку, передбаченому </w:t>
            </w:r>
            <w:hyperlink r:id="rId14" w:anchor="n72" w:history="1">
              <w:r w:rsidRPr="00EB1DD8">
                <w:rPr>
                  <w:rFonts w:ascii="Times New Roman" w:eastAsia="Times New Roman" w:hAnsi="Times New Roman" w:cs="Times New Roman"/>
                  <w:sz w:val="24"/>
                  <w:szCs w:val="24"/>
                  <w:lang w:eastAsia="uk-UA"/>
                </w:rPr>
                <w:t>главою</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2</w:t>
              </w:r>
            </w:hyperlink>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 xml:space="preserve">розділу </w:t>
            </w:r>
            <w:r w:rsidRPr="00EB1DD8">
              <w:rPr>
                <w:rFonts w:ascii="Times New Roman" w:eastAsia="Times New Roman" w:hAnsi="Times New Roman" w:cs="Times New Roman"/>
                <w:b/>
                <w:sz w:val="24"/>
                <w:szCs w:val="24"/>
                <w:lang w:eastAsia="uk-UA"/>
              </w:rPr>
              <w:t>ІІ</w:t>
            </w:r>
            <w:r w:rsidRPr="00EB1DD8">
              <w:rPr>
                <w:rFonts w:ascii="Times New Roman" w:eastAsia="Times New Roman" w:hAnsi="Times New Roman" w:cs="Times New Roman"/>
                <w:sz w:val="24"/>
                <w:szCs w:val="24"/>
                <w:lang w:eastAsia="uk-UA"/>
              </w:rPr>
              <w:t xml:space="preserve"> цього Положення.</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3. Мінімальний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Компанії повинен становити не менше мінімального розміру </w:t>
            </w:r>
            <w:r w:rsidRPr="00EB1DD8">
              <w:rPr>
                <w:rFonts w:ascii="Times New Roman" w:eastAsia="Times New Roman" w:hAnsi="Times New Roman" w:cs="Times New Roman"/>
                <w:b/>
                <w:sz w:val="24"/>
                <w:szCs w:val="24"/>
                <w:lang w:eastAsia="uk-UA"/>
              </w:rPr>
              <w:t>початкового</w:t>
            </w:r>
            <w:r w:rsidRPr="00EB1DD8">
              <w:rPr>
                <w:rFonts w:ascii="Times New Roman" w:eastAsia="Times New Roman" w:hAnsi="Times New Roman" w:cs="Times New Roman"/>
                <w:sz w:val="24"/>
                <w:szCs w:val="24"/>
                <w:lang w:eastAsia="uk-UA"/>
              </w:rPr>
              <w:t xml:space="preserve"> капіталу, встановленого законодавством для зазначеного виду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w:t>
            </w:r>
          </w:p>
        </w:tc>
        <w:tc>
          <w:tcPr>
            <w:tcW w:w="4945" w:type="dxa"/>
          </w:tcPr>
          <w:p w:rsidR="00491A64" w:rsidRPr="00EB1DD8" w:rsidRDefault="00491A64"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847D6B" w:rsidRPr="00EB1DD8" w:rsidRDefault="00847D6B"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847D6B" w:rsidRPr="00EB1DD8" w:rsidRDefault="00847D6B"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847D6B" w:rsidRPr="00EB1DD8" w:rsidRDefault="00847D6B"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847D6B" w:rsidRPr="00EB1DD8" w:rsidRDefault="00847D6B"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0" w:line="240" w:lineRule="auto"/>
              <w:ind w:right="450"/>
              <w:rPr>
                <w:rFonts w:ascii="Times New Roman" w:eastAsia="Times New Roman" w:hAnsi="Times New Roman" w:cs="Times New Roman"/>
                <w:b/>
                <w:bCs/>
                <w:sz w:val="24"/>
                <w:szCs w:val="24"/>
                <w:lang w:eastAsia="uk-UA"/>
              </w:rPr>
            </w:pPr>
          </w:p>
          <w:p w:rsidR="001A1ED8" w:rsidRPr="00EB1DD8" w:rsidRDefault="001A1ED8" w:rsidP="002A615E">
            <w:pPr>
              <w:shd w:val="clear" w:color="auto" w:fill="FFFFFF"/>
              <w:spacing w:before="150" w:after="0" w:line="240" w:lineRule="auto"/>
              <w:ind w:right="450"/>
              <w:rPr>
                <w:rFonts w:ascii="Times New Roman" w:eastAsia="Times New Roman" w:hAnsi="Times New Roman" w:cs="Times New Roman"/>
                <w:b/>
                <w:bCs/>
                <w:sz w:val="24"/>
                <w:szCs w:val="24"/>
                <w:lang w:eastAsia="uk-UA"/>
              </w:rPr>
            </w:pPr>
          </w:p>
          <w:p w:rsidR="00847D6B" w:rsidRPr="00EB1DD8" w:rsidRDefault="00847D6B" w:rsidP="00491A64">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4E5660" w:rsidRPr="00EB1DD8" w:rsidRDefault="00847D6B" w:rsidP="001A1ED8">
            <w:pPr>
              <w:shd w:val="clear" w:color="auto" w:fill="FFFFFF"/>
              <w:spacing w:before="150" w:after="0" w:line="240" w:lineRule="auto"/>
              <w:ind w:right="15" w:firstLine="603"/>
              <w:jc w:val="both"/>
              <w:rPr>
                <w:rFonts w:ascii="Times New Roman" w:hAnsi="Times New Roman" w:cs="Times New Roman"/>
                <w:b/>
                <w:bCs/>
                <w:sz w:val="24"/>
                <w:szCs w:val="24"/>
                <w:lang w:eastAsia="uk-UA"/>
              </w:rPr>
            </w:pPr>
            <w:r w:rsidRPr="00EB1DD8">
              <w:rPr>
                <w:rFonts w:ascii="Times New Roman" w:hAnsi="Times New Roman" w:cs="Times New Roman"/>
                <w:b/>
                <w:bCs/>
                <w:sz w:val="24"/>
                <w:szCs w:val="24"/>
                <w:lang w:eastAsia="uk-UA"/>
              </w:rPr>
              <w:t>Нині чинне нормативне значення розміру власних коштів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hAnsi="Times New Roman" w:cs="Times New Roman"/>
                <w:b/>
                <w:bCs/>
                <w:sz w:val="24"/>
                <w:szCs w:val="24"/>
                <w:lang w:eastAsia="uk-UA"/>
              </w:rPr>
              <w:t xml:space="preserve">) для КУА, що фактично дорівнює 3.5 млн грн, на момент запровадження цього показника і упродовж наступних кількох років практично було еквівалентним 125 тис. євро, визазначеним спеціальною Директивою ЄС щодо управління активами інвестиційних фондів, передбаченою для транспонування в українське законодавство Угодою про асоціацію з ЄС. Тому погоджуємося з таким формулюванням цієї норми, тільки якщо розмір початкового капіталу не буде перевищувати відповідної суми (наразі – близько 4 000 000 грн). </w:t>
            </w:r>
          </w:p>
          <w:p w:rsidR="001A1ED8" w:rsidRPr="00EB1DD8" w:rsidRDefault="001A1ED8" w:rsidP="001A1ED8">
            <w:pPr>
              <w:shd w:val="clear" w:color="auto" w:fill="FFFFFF"/>
              <w:spacing w:before="150" w:after="0" w:line="240" w:lineRule="auto"/>
              <w:ind w:right="15" w:firstLine="603"/>
              <w:jc w:val="both"/>
              <w:rPr>
                <w:rFonts w:ascii="Times New Roman" w:hAnsi="Times New Roman" w:cs="Times New Roman"/>
                <w:b/>
                <w:bCs/>
                <w:sz w:val="24"/>
                <w:szCs w:val="24"/>
                <w:lang w:eastAsia="uk-UA"/>
              </w:rPr>
            </w:pPr>
          </w:p>
        </w:tc>
        <w:tc>
          <w:tcPr>
            <w:tcW w:w="5405" w:type="dxa"/>
          </w:tcPr>
          <w:p w:rsidR="007007B2" w:rsidRPr="00EB1DD8" w:rsidRDefault="007007B2" w:rsidP="007007B2">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 xml:space="preserve">2. Розмір </w:t>
            </w:r>
            <w:r w:rsidRPr="00EB1DD8">
              <w:rPr>
                <w:rFonts w:ascii="Times New Roman" w:eastAsia="Times New Roman" w:hAnsi="Times New Roman" w:cs="Times New Roman"/>
                <w:b/>
                <w:sz w:val="24"/>
                <w:szCs w:val="24"/>
                <w:lang w:eastAsia="uk-UA"/>
              </w:rPr>
              <w:t>регулятивного капіталу</w:t>
            </w:r>
          </w:p>
          <w:p w:rsidR="007007B2" w:rsidRPr="00EB1DD8" w:rsidRDefault="007007B2" w:rsidP="007007B2">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7007B2" w:rsidRPr="00EB1DD8" w:rsidRDefault="007007B2" w:rsidP="007007B2">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sz w:val="24"/>
                <w:szCs w:val="24"/>
                <w:lang w:eastAsia="uk-UA"/>
              </w:rPr>
              <w:t xml:space="preserve"> є коштами, які Компанія може використовувати на покриття негативних фінансових наслідків реалізації ризиків, що виникають при провадженні нею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w:t>
            </w:r>
          </w:p>
          <w:p w:rsidR="007007B2" w:rsidRPr="00EB1DD8" w:rsidRDefault="007007B2" w:rsidP="007007B2">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 xml:space="preserve">2.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егулятивни</w:t>
            </w:r>
            <w:r w:rsidRPr="00EB1DD8">
              <w:rPr>
                <w:rFonts w:ascii="Times New Roman" w:eastAsia="Times New Roman" w:hAnsi="Times New Roman" w:cs="Times New Roman"/>
                <w:b/>
                <w:sz w:val="24"/>
                <w:szCs w:val="24"/>
                <w:lang w:val="ru-RU" w:eastAsia="uk-UA"/>
              </w:rPr>
              <w:t>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sz w:val="24"/>
                <w:szCs w:val="24"/>
                <w:lang w:eastAsia="uk-UA"/>
              </w:rPr>
              <w:t xml:space="preserve"> розрахову</w:t>
            </w:r>
            <w:r w:rsidRPr="00EB1DD8">
              <w:rPr>
                <w:rFonts w:ascii="Times New Roman" w:eastAsia="Times New Roman" w:hAnsi="Times New Roman" w:cs="Times New Roman"/>
                <w:b/>
                <w:sz w:val="24"/>
                <w:szCs w:val="24"/>
                <w:lang w:val="ru-RU" w:eastAsia="uk-UA"/>
              </w:rPr>
              <w:t>є</w:t>
            </w:r>
            <w:r w:rsidRPr="00EB1DD8">
              <w:rPr>
                <w:rFonts w:ascii="Times New Roman" w:eastAsia="Times New Roman" w:hAnsi="Times New Roman" w:cs="Times New Roman"/>
                <w:sz w:val="24"/>
                <w:szCs w:val="24"/>
                <w:lang w:eastAsia="uk-UA"/>
              </w:rPr>
              <w:t>ться в порядку, передбаченому </w:t>
            </w:r>
            <w:hyperlink r:id="rId15" w:anchor="n72" w:history="1">
              <w:r w:rsidRPr="00EB1DD8">
                <w:rPr>
                  <w:rFonts w:ascii="Times New Roman" w:eastAsia="Times New Roman" w:hAnsi="Times New Roman" w:cs="Times New Roman"/>
                  <w:sz w:val="24"/>
                  <w:szCs w:val="24"/>
                  <w:lang w:eastAsia="uk-UA"/>
                </w:rPr>
                <w:t>главою</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2</w:t>
              </w:r>
            </w:hyperlink>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 xml:space="preserve">розділу </w:t>
            </w:r>
            <w:r w:rsidRPr="00EB1DD8">
              <w:rPr>
                <w:rFonts w:ascii="Times New Roman" w:eastAsia="Times New Roman" w:hAnsi="Times New Roman" w:cs="Times New Roman"/>
                <w:b/>
                <w:sz w:val="24"/>
                <w:szCs w:val="24"/>
                <w:lang w:eastAsia="uk-UA"/>
              </w:rPr>
              <w:t>ІІ</w:t>
            </w:r>
            <w:r w:rsidRPr="00EB1DD8">
              <w:rPr>
                <w:rFonts w:ascii="Times New Roman" w:eastAsia="Times New Roman" w:hAnsi="Times New Roman" w:cs="Times New Roman"/>
                <w:sz w:val="24"/>
                <w:szCs w:val="24"/>
                <w:lang w:eastAsia="uk-UA"/>
              </w:rPr>
              <w:t xml:space="preserve"> цього Положення.</w:t>
            </w:r>
          </w:p>
          <w:p w:rsidR="00491A64" w:rsidRPr="00EB1DD8" w:rsidRDefault="007007B2" w:rsidP="007007B2">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Мінімальний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Компанії повинен становити не менше мінімального розміру </w:t>
            </w:r>
            <w:r w:rsidRPr="00EB1DD8">
              <w:rPr>
                <w:rFonts w:ascii="Times New Roman" w:eastAsia="Times New Roman" w:hAnsi="Times New Roman" w:cs="Times New Roman"/>
                <w:b/>
                <w:sz w:val="24"/>
                <w:szCs w:val="24"/>
                <w:lang w:eastAsia="uk-UA"/>
              </w:rPr>
              <w:t>початкового</w:t>
            </w:r>
            <w:r w:rsidRPr="00EB1DD8">
              <w:rPr>
                <w:rFonts w:ascii="Times New Roman" w:eastAsia="Times New Roman" w:hAnsi="Times New Roman" w:cs="Times New Roman"/>
                <w:sz w:val="24"/>
                <w:szCs w:val="24"/>
                <w:lang w:eastAsia="uk-UA"/>
              </w:rPr>
              <w:t xml:space="preserve"> капіталу, встановленого законодавством для зазначеного виду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w:t>
            </w:r>
          </w:p>
        </w:tc>
      </w:tr>
      <w:tr w:rsidR="002A615E" w:rsidRPr="00EB1DD8" w:rsidTr="0018386F">
        <w:trPr>
          <w:trHeight w:val="554"/>
        </w:trPr>
        <w:tc>
          <w:tcPr>
            <w:tcW w:w="5527"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 xml:space="preserve">3. Норматив достатності </w:t>
            </w:r>
            <w:r w:rsidRPr="00EB1DD8">
              <w:rPr>
                <w:rFonts w:ascii="Times New Roman" w:eastAsia="Times New Roman" w:hAnsi="Times New Roman" w:cs="Times New Roman"/>
                <w:b/>
                <w:sz w:val="24"/>
                <w:szCs w:val="24"/>
                <w:lang w:eastAsia="uk-UA"/>
              </w:rPr>
              <w:t>регулятивного капіталу</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є показником, що відображає здатність Компанії утримувати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sz w:val="24"/>
                <w:szCs w:val="24"/>
                <w:lang w:eastAsia="uk-UA"/>
              </w:rPr>
              <w:t xml:space="preserve"> в розмірі, достатньому для покриття її фіксованих накладних витрат протягом 3 місяців, навіть за умови відсутності доходів протягом цього часу.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розраховується як відношення розміру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до величини, що становить 25 % від фіксованих накладних витрат </w:t>
            </w:r>
            <w:r w:rsidRPr="00EB1DD8">
              <w:rPr>
                <w:rFonts w:ascii="Times New Roman" w:eastAsia="Times New Roman" w:hAnsi="Times New Roman" w:cs="Times New Roman"/>
                <w:sz w:val="24"/>
                <w:szCs w:val="24"/>
                <w:lang w:eastAsia="uk-UA"/>
              </w:rPr>
              <w:lastRenderedPageBreak/>
              <w:t>установи за попередній фінансовий рік, за формулою</w:t>
            </w:r>
          </w:p>
          <w:p w:rsidR="002A615E" w:rsidRPr="00EB1DD8" w:rsidRDefault="002A615E" w:rsidP="002A615E">
            <w:pPr>
              <w:spacing w:after="0" w:line="240" w:lineRule="auto"/>
              <w:jc w:val="center"/>
              <w:rPr>
                <w:rFonts w:ascii="Times New Roman" w:hAnsi="Times New Roman" w:cs="Times New Roman"/>
                <w:sz w:val="24"/>
                <w:szCs w:val="24"/>
                <w:u w:val="single"/>
              </w:rPr>
            </w:pPr>
            <w:r w:rsidRPr="00EB1DD8">
              <w:rPr>
                <w:rFonts w:ascii="Times New Roman" w:eastAsia="Times New Roman" w:hAnsi="Times New Roman" w:cs="Times New Roman"/>
                <w:b/>
                <w:sz w:val="24"/>
                <w:szCs w:val="24"/>
                <w:u w:val="single"/>
                <w:lang w:val="ru-RU" w:eastAsia="uk-UA"/>
              </w:rPr>
              <w:t>Р</w:t>
            </w:r>
            <w:r w:rsidRPr="00EB1DD8">
              <w:rPr>
                <w:rFonts w:ascii="Times New Roman" w:eastAsia="Times New Roman" w:hAnsi="Times New Roman" w:cs="Times New Roman"/>
                <w:b/>
                <w:sz w:val="24"/>
                <w:szCs w:val="24"/>
                <w:u w:val="single"/>
                <w:lang w:eastAsia="uk-UA"/>
              </w:rPr>
              <w:t>егулятивни</w:t>
            </w:r>
            <w:r w:rsidRPr="00EB1DD8">
              <w:rPr>
                <w:rFonts w:ascii="Times New Roman" w:eastAsia="Times New Roman" w:hAnsi="Times New Roman" w:cs="Times New Roman"/>
                <w:b/>
                <w:sz w:val="24"/>
                <w:szCs w:val="24"/>
                <w:u w:val="single"/>
                <w:lang w:val="ru-RU" w:eastAsia="uk-UA"/>
              </w:rPr>
              <w:t>й</w:t>
            </w:r>
            <w:r w:rsidRPr="00EB1DD8">
              <w:rPr>
                <w:rFonts w:ascii="Times New Roman" w:eastAsia="Times New Roman" w:hAnsi="Times New Roman" w:cs="Times New Roman"/>
                <w:b/>
                <w:sz w:val="24"/>
                <w:szCs w:val="24"/>
                <w:u w:val="single"/>
                <w:lang w:eastAsia="uk-UA"/>
              </w:rPr>
              <w:t xml:space="preserve"> капітал</w:t>
            </w:r>
          </w:p>
          <w:p w:rsidR="002A615E" w:rsidRPr="00EB1DD8" w:rsidRDefault="002A615E" w:rsidP="002A615E">
            <w:pPr>
              <w:jc w:val="center"/>
              <w:rPr>
                <w:rFonts w:ascii="Times New Roman" w:hAnsi="Times New Roman" w:cs="Times New Roman"/>
                <w:sz w:val="24"/>
                <w:szCs w:val="24"/>
              </w:rPr>
            </w:pPr>
            <w:r w:rsidRPr="00EB1DD8">
              <w:rPr>
                <w:rFonts w:ascii="Times New Roman" w:hAnsi="Times New Roman" w:cs="Times New Roman"/>
                <w:sz w:val="24"/>
                <w:szCs w:val="24"/>
              </w:rPr>
              <w:t xml:space="preserve">0,25 </w:t>
            </w:r>
            <w:r w:rsidRPr="00EB1DD8">
              <w:rPr>
                <w:rFonts w:ascii="Times New Roman" w:hAnsi="Times New Roman" w:cs="Times New Roman"/>
                <w:color w:val="000000"/>
                <w:sz w:val="24"/>
                <w:szCs w:val="24"/>
              </w:rPr>
              <w:t xml:space="preserve">× Фіксовані накладні витрати </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егулятивни</w:t>
            </w:r>
            <w:r w:rsidRPr="00EB1DD8">
              <w:rPr>
                <w:rFonts w:ascii="Times New Roman" w:eastAsia="Times New Roman" w:hAnsi="Times New Roman" w:cs="Times New Roman"/>
                <w:b/>
                <w:sz w:val="24"/>
                <w:szCs w:val="24"/>
                <w:lang w:val="ru-RU" w:eastAsia="uk-UA"/>
              </w:rPr>
              <w:t>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sz w:val="24"/>
                <w:szCs w:val="24"/>
                <w:lang w:eastAsia="uk-UA"/>
              </w:rPr>
              <w:t xml:space="preserve"> розрахову</w:t>
            </w:r>
            <w:r w:rsidRPr="00EB1DD8">
              <w:rPr>
                <w:rFonts w:ascii="Times New Roman" w:eastAsia="Times New Roman" w:hAnsi="Times New Roman" w:cs="Times New Roman"/>
                <w:b/>
                <w:sz w:val="24"/>
                <w:szCs w:val="24"/>
                <w:lang w:val="ru-RU" w:eastAsia="uk-UA"/>
              </w:rPr>
              <w:t>є</w:t>
            </w:r>
            <w:r w:rsidRPr="00EB1DD8">
              <w:rPr>
                <w:rFonts w:ascii="Times New Roman" w:eastAsia="Times New Roman" w:hAnsi="Times New Roman" w:cs="Times New Roman"/>
                <w:sz w:val="24"/>
                <w:szCs w:val="24"/>
                <w:lang w:eastAsia="uk-UA"/>
              </w:rPr>
              <w:t>ться в порядку, передбаченому </w:t>
            </w:r>
            <w:hyperlink r:id="rId16" w:anchor="n72" w:history="1">
              <w:r w:rsidRPr="00EB1DD8">
                <w:rPr>
                  <w:rFonts w:ascii="Times New Roman" w:eastAsia="Times New Roman" w:hAnsi="Times New Roman" w:cs="Times New Roman"/>
                  <w:sz w:val="24"/>
                  <w:szCs w:val="24"/>
                  <w:lang w:eastAsia="uk-UA"/>
                </w:rPr>
                <w:t>главою</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2</w:t>
              </w:r>
            </w:hyperlink>
            <w:r w:rsidRPr="00EB1DD8">
              <w:rPr>
                <w:rFonts w:ascii="Times New Roman" w:eastAsia="Times New Roman" w:hAnsi="Times New Roman" w:cs="Times New Roman"/>
                <w:sz w:val="24"/>
                <w:szCs w:val="24"/>
                <w:lang w:eastAsia="uk-UA"/>
              </w:rPr>
              <w:t xml:space="preserve"> розділу </w:t>
            </w:r>
            <w:r w:rsidRPr="00EB1DD8">
              <w:rPr>
                <w:rFonts w:ascii="Times New Roman" w:eastAsia="Times New Roman" w:hAnsi="Times New Roman" w:cs="Times New Roman"/>
                <w:b/>
                <w:sz w:val="24"/>
                <w:szCs w:val="24"/>
                <w:lang w:eastAsia="uk-UA"/>
              </w:rPr>
              <w:t>ІІ</w:t>
            </w:r>
            <w:r w:rsidRPr="00EB1DD8">
              <w:rPr>
                <w:rFonts w:ascii="Times New Roman" w:eastAsia="Times New Roman" w:hAnsi="Times New Roman" w:cs="Times New Roman"/>
                <w:sz w:val="24"/>
                <w:szCs w:val="24"/>
                <w:lang w:eastAsia="uk-UA"/>
              </w:rPr>
              <w:t xml:space="preserve"> цього Положення.</w:t>
            </w:r>
          </w:p>
          <w:p w:rsidR="002A615E" w:rsidRPr="00EB1DD8" w:rsidRDefault="002A615E" w:rsidP="002A615E">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Фіксовані накладні витрати визначаються як постійні витрати установи за попередній фінансовий рік на підставі даних річної фінансової звітності.</w:t>
            </w:r>
          </w:p>
          <w:p w:rsidR="002A615E" w:rsidRPr="00EB1DD8" w:rsidRDefault="002A615E" w:rsidP="002A615E">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Постійними витратами установи є загальногосподарські витрати на обслуговування та управління нею, що залишаються незмінними або майже незмінними при зміні обсягу діяльності установи, до яких, зокрема, відносяться: загальні корпоративні витрати (організаційні витрати, витрати на проведення річних та інших зборів органів управління, представницькі витрати тощо), витрати на утримання адміністративно-управлінського персоналу, витрати на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витрати на оплату послуг зв’язку, винагороди за консультаційні, інформаційні, аудиторські та інші послуги, плата за розрахунково-касове обслуговування та інші послуги банків, витрати на охорону приміщень.</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lastRenderedPageBreak/>
              <w:t xml:space="preserve">5. Нормативне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для Компаній становить не менше 1.</w:t>
            </w:r>
          </w:p>
        </w:tc>
        <w:tc>
          <w:tcPr>
            <w:tcW w:w="4945" w:type="dxa"/>
          </w:tcPr>
          <w:p w:rsidR="002A615E" w:rsidRPr="00EB1DD8" w:rsidRDefault="002A615E" w:rsidP="002A615E">
            <w:pPr>
              <w:shd w:val="clear" w:color="auto" w:fill="FFFFFF"/>
              <w:spacing w:before="150" w:after="0" w:line="240" w:lineRule="auto"/>
              <w:ind w:left="450" w:right="450"/>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Без змін.</w:t>
            </w:r>
          </w:p>
        </w:tc>
        <w:tc>
          <w:tcPr>
            <w:tcW w:w="5405"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 xml:space="preserve">3. Норматив достатності </w:t>
            </w:r>
            <w:r w:rsidRPr="00EB1DD8">
              <w:rPr>
                <w:rFonts w:ascii="Times New Roman" w:eastAsia="Times New Roman" w:hAnsi="Times New Roman" w:cs="Times New Roman"/>
                <w:b/>
                <w:sz w:val="24"/>
                <w:szCs w:val="24"/>
                <w:lang w:eastAsia="uk-UA"/>
              </w:rPr>
              <w:t>регулятивного капіталу</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є показником, що відображає здатність Компанії утримувати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sz w:val="24"/>
                <w:szCs w:val="24"/>
                <w:lang w:eastAsia="uk-UA"/>
              </w:rPr>
              <w:t xml:space="preserve"> в розмірі, достатньому для покриття її фіксованих накладних витрат протягом 3 місяців, навіть за умови відсутності доходів протягом цього часу.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розраховується як відношення розміру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до величини, що становить 25 % від фіксованих накладних витрат </w:t>
            </w:r>
            <w:r w:rsidRPr="00EB1DD8">
              <w:rPr>
                <w:rFonts w:ascii="Times New Roman" w:eastAsia="Times New Roman" w:hAnsi="Times New Roman" w:cs="Times New Roman"/>
                <w:sz w:val="24"/>
                <w:szCs w:val="24"/>
                <w:lang w:eastAsia="uk-UA"/>
              </w:rPr>
              <w:lastRenderedPageBreak/>
              <w:t>установи за попередній фінансовий рік, за формулою</w:t>
            </w:r>
          </w:p>
          <w:p w:rsidR="002A615E" w:rsidRPr="00EB1DD8" w:rsidRDefault="002A615E" w:rsidP="002A615E">
            <w:pPr>
              <w:spacing w:after="0" w:line="240" w:lineRule="auto"/>
              <w:jc w:val="center"/>
              <w:rPr>
                <w:rFonts w:ascii="Times New Roman" w:hAnsi="Times New Roman" w:cs="Times New Roman"/>
                <w:sz w:val="24"/>
                <w:szCs w:val="24"/>
                <w:u w:val="single"/>
              </w:rPr>
            </w:pPr>
            <w:r w:rsidRPr="00EB1DD8">
              <w:rPr>
                <w:rFonts w:ascii="Times New Roman" w:eastAsia="Times New Roman" w:hAnsi="Times New Roman" w:cs="Times New Roman"/>
                <w:b/>
                <w:sz w:val="24"/>
                <w:szCs w:val="24"/>
                <w:u w:val="single"/>
                <w:lang w:val="ru-RU" w:eastAsia="uk-UA"/>
              </w:rPr>
              <w:t>Р</w:t>
            </w:r>
            <w:r w:rsidRPr="00EB1DD8">
              <w:rPr>
                <w:rFonts w:ascii="Times New Roman" w:eastAsia="Times New Roman" w:hAnsi="Times New Roman" w:cs="Times New Roman"/>
                <w:b/>
                <w:sz w:val="24"/>
                <w:szCs w:val="24"/>
                <w:u w:val="single"/>
                <w:lang w:eastAsia="uk-UA"/>
              </w:rPr>
              <w:t>егулятивни</w:t>
            </w:r>
            <w:r w:rsidRPr="00EB1DD8">
              <w:rPr>
                <w:rFonts w:ascii="Times New Roman" w:eastAsia="Times New Roman" w:hAnsi="Times New Roman" w:cs="Times New Roman"/>
                <w:b/>
                <w:sz w:val="24"/>
                <w:szCs w:val="24"/>
                <w:u w:val="single"/>
                <w:lang w:val="ru-RU" w:eastAsia="uk-UA"/>
              </w:rPr>
              <w:t>й</w:t>
            </w:r>
            <w:r w:rsidRPr="00EB1DD8">
              <w:rPr>
                <w:rFonts w:ascii="Times New Roman" w:eastAsia="Times New Roman" w:hAnsi="Times New Roman" w:cs="Times New Roman"/>
                <w:b/>
                <w:sz w:val="24"/>
                <w:szCs w:val="24"/>
                <w:u w:val="single"/>
                <w:lang w:eastAsia="uk-UA"/>
              </w:rPr>
              <w:t xml:space="preserve"> капітал</w:t>
            </w:r>
          </w:p>
          <w:p w:rsidR="002A615E" w:rsidRPr="00EB1DD8" w:rsidRDefault="002A615E" w:rsidP="002A615E">
            <w:pPr>
              <w:jc w:val="center"/>
              <w:rPr>
                <w:rFonts w:ascii="Times New Roman" w:hAnsi="Times New Roman" w:cs="Times New Roman"/>
                <w:sz w:val="24"/>
                <w:szCs w:val="24"/>
              </w:rPr>
            </w:pPr>
            <w:r w:rsidRPr="00EB1DD8">
              <w:rPr>
                <w:rFonts w:ascii="Times New Roman" w:hAnsi="Times New Roman" w:cs="Times New Roman"/>
                <w:sz w:val="24"/>
                <w:szCs w:val="24"/>
              </w:rPr>
              <w:t xml:space="preserve">0,25 </w:t>
            </w:r>
            <w:r w:rsidRPr="00EB1DD8">
              <w:rPr>
                <w:rFonts w:ascii="Times New Roman" w:hAnsi="Times New Roman" w:cs="Times New Roman"/>
                <w:color w:val="000000"/>
                <w:sz w:val="24"/>
                <w:szCs w:val="24"/>
              </w:rPr>
              <w:t xml:space="preserve">× Фіксовані накладні витрати </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егулятивни</w:t>
            </w:r>
            <w:r w:rsidRPr="00EB1DD8">
              <w:rPr>
                <w:rFonts w:ascii="Times New Roman" w:eastAsia="Times New Roman" w:hAnsi="Times New Roman" w:cs="Times New Roman"/>
                <w:b/>
                <w:sz w:val="24"/>
                <w:szCs w:val="24"/>
                <w:lang w:val="ru-RU" w:eastAsia="uk-UA"/>
              </w:rPr>
              <w:t>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sz w:val="24"/>
                <w:szCs w:val="24"/>
                <w:lang w:eastAsia="uk-UA"/>
              </w:rPr>
              <w:t xml:space="preserve"> розрахову</w:t>
            </w:r>
            <w:r w:rsidRPr="00EB1DD8">
              <w:rPr>
                <w:rFonts w:ascii="Times New Roman" w:eastAsia="Times New Roman" w:hAnsi="Times New Roman" w:cs="Times New Roman"/>
                <w:b/>
                <w:sz w:val="24"/>
                <w:szCs w:val="24"/>
                <w:lang w:val="ru-RU" w:eastAsia="uk-UA"/>
              </w:rPr>
              <w:t>є</w:t>
            </w:r>
            <w:r w:rsidRPr="00EB1DD8">
              <w:rPr>
                <w:rFonts w:ascii="Times New Roman" w:eastAsia="Times New Roman" w:hAnsi="Times New Roman" w:cs="Times New Roman"/>
                <w:sz w:val="24"/>
                <w:szCs w:val="24"/>
                <w:lang w:eastAsia="uk-UA"/>
              </w:rPr>
              <w:t>ться в порядку, передбаченому </w:t>
            </w:r>
            <w:hyperlink r:id="rId17" w:anchor="n72" w:history="1">
              <w:r w:rsidRPr="00EB1DD8">
                <w:rPr>
                  <w:rFonts w:ascii="Times New Roman" w:eastAsia="Times New Roman" w:hAnsi="Times New Roman" w:cs="Times New Roman"/>
                  <w:sz w:val="24"/>
                  <w:szCs w:val="24"/>
                  <w:lang w:eastAsia="uk-UA"/>
                </w:rPr>
                <w:t>главою</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2</w:t>
              </w:r>
            </w:hyperlink>
            <w:r w:rsidRPr="00EB1DD8">
              <w:rPr>
                <w:rFonts w:ascii="Times New Roman" w:eastAsia="Times New Roman" w:hAnsi="Times New Roman" w:cs="Times New Roman"/>
                <w:sz w:val="24"/>
                <w:szCs w:val="24"/>
                <w:lang w:eastAsia="uk-UA"/>
              </w:rPr>
              <w:t xml:space="preserve"> розділу </w:t>
            </w:r>
            <w:r w:rsidRPr="00EB1DD8">
              <w:rPr>
                <w:rFonts w:ascii="Times New Roman" w:eastAsia="Times New Roman" w:hAnsi="Times New Roman" w:cs="Times New Roman"/>
                <w:b/>
                <w:sz w:val="24"/>
                <w:szCs w:val="24"/>
                <w:lang w:eastAsia="uk-UA"/>
              </w:rPr>
              <w:t>ІІ</w:t>
            </w:r>
            <w:r w:rsidRPr="00EB1DD8">
              <w:rPr>
                <w:rFonts w:ascii="Times New Roman" w:eastAsia="Times New Roman" w:hAnsi="Times New Roman" w:cs="Times New Roman"/>
                <w:sz w:val="24"/>
                <w:szCs w:val="24"/>
                <w:lang w:eastAsia="uk-UA"/>
              </w:rPr>
              <w:t xml:space="preserve"> цього Положення.</w:t>
            </w:r>
          </w:p>
          <w:p w:rsidR="002A615E" w:rsidRPr="00EB1DD8" w:rsidRDefault="002A615E" w:rsidP="002A615E">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Фіксовані накладні витрати визначаються як постійні витрати установи за попередній фінансовий рік на підставі даних річної фінансової звітності.</w:t>
            </w:r>
          </w:p>
          <w:p w:rsidR="002A615E" w:rsidRPr="00EB1DD8" w:rsidRDefault="002A615E" w:rsidP="002A615E">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Постійними витратами установи є загальногосподарські витрати на обслуговування та управління нею, що залишаються незмінними або майже незмінними при зміні обсягу діяльності установи, до яких, зокрема, відносяться: загальні корпоративні витрати (організаційні витрати, витрати на проведення річних та інших зборів органів управління, представницькі витрати тощо), витрати на утримання адміністративно-управлінського персоналу, витрати на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витрати на оплату послуг зв’язку, винагороди за консультаційні, інформаційні, аудиторські та інші послуги, плата за розрахунково-касове обслуговування та інші послуги банків, витрати на охорону приміщень.</w:t>
            </w:r>
          </w:p>
          <w:p w:rsidR="002A615E" w:rsidRPr="00EB1DD8" w:rsidRDefault="002A615E" w:rsidP="002A615E">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 xml:space="preserve">5. Нормативне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для Компаній становить не менше 1.</w:t>
            </w:r>
          </w:p>
        </w:tc>
      </w:tr>
      <w:tr w:rsidR="002A615E" w:rsidRPr="00EB1DD8" w:rsidTr="0018386F">
        <w:trPr>
          <w:trHeight w:val="554"/>
        </w:trPr>
        <w:tc>
          <w:tcPr>
            <w:tcW w:w="5527"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4. Коефіцієнт покриття операційного ризику</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Коефіцієнт покриття операційного ризику відображає здатність Компанії забезпечувати покриття своїх операційних ризиків </w:t>
            </w:r>
            <w:r w:rsidRPr="00EB1DD8">
              <w:rPr>
                <w:rFonts w:ascii="Times New Roman" w:eastAsia="Times New Roman" w:hAnsi="Times New Roman" w:cs="Times New Roman"/>
                <w:b/>
                <w:sz w:val="24"/>
                <w:szCs w:val="24"/>
                <w:lang w:eastAsia="uk-UA"/>
              </w:rPr>
              <w:t>регулятивним капіталом</w:t>
            </w:r>
            <w:r w:rsidRPr="00EB1DD8">
              <w:rPr>
                <w:rFonts w:ascii="Times New Roman" w:eastAsia="Times New Roman" w:hAnsi="Times New Roman" w:cs="Times New Roman"/>
                <w:sz w:val="24"/>
                <w:szCs w:val="24"/>
                <w:lang w:eastAsia="uk-UA"/>
              </w:rPr>
              <w:t xml:space="preserve"> на рівні 15 % від її середньорічного позитивного нетто-доходу за 3 попередні фінансові роки.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Коефіцієнт покриття операційного ризику розраховується як відношення розміру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установи до величини її операційного ризику за формулою</w:t>
            </w:r>
          </w:p>
          <w:p w:rsidR="002A615E" w:rsidRPr="00EB1DD8" w:rsidRDefault="002A615E" w:rsidP="002A615E">
            <w:pPr>
              <w:spacing w:after="0" w:line="240" w:lineRule="auto"/>
              <w:jc w:val="center"/>
              <w:rPr>
                <w:rFonts w:ascii="Times New Roman" w:eastAsia="Times New Roman" w:hAnsi="Times New Roman" w:cs="Times New Roman"/>
                <w:sz w:val="24"/>
                <w:szCs w:val="24"/>
                <w:u w:val="single"/>
                <w:lang w:eastAsia="ru-RU"/>
              </w:rPr>
            </w:pPr>
            <w:r w:rsidRPr="00EB1DD8">
              <w:rPr>
                <w:rFonts w:ascii="Times New Roman" w:eastAsia="Times New Roman" w:hAnsi="Times New Roman" w:cs="Times New Roman"/>
                <w:b/>
                <w:sz w:val="24"/>
                <w:szCs w:val="24"/>
                <w:u w:val="single"/>
                <w:lang w:val="ru-RU" w:eastAsia="uk-UA"/>
              </w:rPr>
              <w:t>Р</w:t>
            </w:r>
            <w:r w:rsidRPr="00EB1DD8">
              <w:rPr>
                <w:rFonts w:ascii="Times New Roman" w:eastAsia="Times New Roman" w:hAnsi="Times New Roman" w:cs="Times New Roman"/>
                <w:b/>
                <w:sz w:val="24"/>
                <w:szCs w:val="24"/>
                <w:u w:val="single"/>
                <w:lang w:eastAsia="uk-UA"/>
              </w:rPr>
              <w:t>егулятивни</w:t>
            </w:r>
            <w:r w:rsidRPr="00EB1DD8">
              <w:rPr>
                <w:rFonts w:ascii="Times New Roman" w:eastAsia="Times New Roman" w:hAnsi="Times New Roman" w:cs="Times New Roman"/>
                <w:b/>
                <w:sz w:val="24"/>
                <w:szCs w:val="24"/>
                <w:u w:val="single"/>
                <w:lang w:val="ru-RU" w:eastAsia="uk-UA"/>
              </w:rPr>
              <w:t>й</w:t>
            </w:r>
            <w:r w:rsidRPr="00EB1DD8">
              <w:rPr>
                <w:rFonts w:ascii="Times New Roman" w:eastAsia="Times New Roman" w:hAnsi="Times New Roman" w:cs="Times New Roman"/>
                <w:b/>
                <w:sz w:val="24"/>
                <w:szCs w:val="24"/>
                <w:u w:val="single"/>
                <w:lang w:eastAsia="uk-UA"/>
              </w:rPr>
              <w:t xml:space="preserve"> капітал</w:t>
            </w:r>
          </w:p>
          <w:p w:rsidR="002A615E" w:rsidRPr="00EB1DD8" w:rsidRDefault="002A615E" w:rsidP="002A615E">
            <w:pPr>
              <w:spacing w:after="0" w:line="240" w:lineRule="auto"/>
              <w:jc w:val="center"/>
              <w:rPr>
                <w:rFonts w:ascii="Times New Roman" w:eastAsia="Times New Roman" w:hAnsi="Times New Roman" w:cs="Times New Roman"/>
                <w:sz w:val="24"/>
                <w:szCs w:val="24"/>
                <w:lang w:eastAsia="ru-RU"/>
              </w:rPr>
            </w:pPr>
            <w:r w:rsidRPr="00EB1DD8">
              <w:rPr>
                <w:rFonts w:ascii="Times New Roman" w:eastAsia="Times New Roman" w:hAnsi="Times New Roman" w:cs="Times New Roman"/>
                <w:sz w:val="24"/>
                <w:szCs w:val="24"/>
                <w:lang w:eastAsia="ru-RU"/>
              </w:rPr>
              <w:t>Величина операційного ризику</w:t>
            </w:r>
          </w:p>
          <w:p w:rsidR="002A615E" w:rsidRPr="00EB1DD8" w:rsidRDefault="002A615E" w:rsidP="002A615E">
            <w:pPr>
              <w:shd w:val="clear" w:color="auto" w:fill="FFFFFF"/>
              <w:spacing w:before="120"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егулятивни</w:t>
            </w:r>
            <w:r w:rsidRPr="00EB1DD8">
              <w:rPr>
                <w:rFonts w:ascii="Times New Roman" w:eastAsia="Times New Roman" w:hAnsi="Times New Roman" w:cs="Times New Roman"/>
                <w:b/>
                <w:sz w:val="24"/>
                <w:szCs w:val="24"/>
                <w:lang w:val="ru-RU" w:eastAsia="uk-UA"/>
              </w:rPr>
              <w:t>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sz w:val="24"/>
                <w:szCs w:val="24"/>
                <w:lang w:eastAsia="uk-UA"/>
              </w:rPr>
              <w:t xml:space="preserve"> розрахову</w:t>
            </w:r>
            <w:r w:rsidRPr="00EB1DD8">
              <w:rPr>
                <w:rFonts w:ascii="Times New Roman" w:eastAsia="Times New Roman" w:hAnsi="Times New Roman" w:cs="Times New Roman"/>
                <w:b/>
                <w:sz w:val="24"/>
                <w:szCs w:val="24"/>
                <w:lang w:val="ru-RU" w:eastAsia="uk-UA"/>
              </w:rPr>
              <w:t>є</w:t>
            </w:r>
            <w:r w:rsidRPr="00EB1DD8">
              <w:rPr>
                <w:rFonts w:ascii="Times New Roman" w:eastAsia="Times New Roman" w:hAnsi="Times New Roman" w:cs="Times New Roman"/>
                <w:sz w:val="24"/>
                <w:szCs w:val="24"/>
                <w:lang w:eastAsia="uk-UA"/>
              </w:rPr>
              <w:t>ться в порядку, передбаченому </w:t>
            </w:r>
            <w:hyperlink r:id="rId18" w:anchor="n72" w:history="1">
              <w:r w:rsidRPr="00EB1DD8">
                <w:rPr>
                  <w:rFonts w:ascii="Times New Roman" w:eastAsia="Times New Roman" w:hAnsi="Times New Roman" w:cs="Times New Roman"/>
                  <w:sz w:val="24"/>
                  <w:szCs w:val="24"/>
                  <w:lang w:eastAsia="uk-UA"/>
                </w:rPr>
                <w:t>главою</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2</w:t>
              </w:r>
            </w:hyperlink>
            <w:r w:rsidRPr="00EB1DD8">
              <w:rPr>
                <w:rFonts w:ascii="Times New Roman" w:eastAsia="Times New Roman" w:hAnsi="Times New Roman" w:cs="Times New Roman"/>
                <w:sz w:val="24"/>
                <w:szCs w:val="24"/>
                <w:lang w:eastAsia="uk-UA"/>
              </w:rPr>
              <w:t xml:space="preserve"> розділу </w:t>
            </w:r>
            <w:r w:rsidRPr="00EB1DD8">
              <w:rPr>
                <w:rFonts w:ascii="Times New Roman" w:eastAsia="Times New Roman" w:hAnsi="Times New Roman" w:cs="Times New Roman"/>
                <w:b/>
                <w:sz w:val="24"/>
                <w:szCs w:val="24"/>
                <w:lang w:eastAsia="uk-UA"/>
              </w:rPr>
              <w:t>ІІ</w:t>
            </w:r>
            <w:r w:rsidRPr="00EB1DD8">
              <w:rPr>
                <w:rFonts w:ascii="Times New Roman" w:eastAsia="Times New Roman" w:hAnsi="Times New Roman" w:cs="Times New Roman"/>
                <w:sz w:val="24"/>
                <w:szCs w:val="24"/>
                <w:lang w:eastAsia="uk-UA"/>
              </w:rPr>
              <w:t xml:space="preserve"> цього Положення.</w:t>
            </w:r>
          </w:p>
          <w:p w:rsidR="002A615E" w:rsidRPr="00EB1DD8" w:rsidRDefault="002A615E" w:rsidP="002A615E">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Величина операційного ризику становить 15 % від розміру середнього річного нетто-доходу установи за 3 попередні фінансові роки, в які був отриманий позитивний нетто-дохід, і розраховується за формулою</w:t>
            </w:r>
          </w:p>
          <w:p w:rsidR="002A615E" w:rsidRPr="00EB1DD8" w:rsidRDefault="002A615E" w:rsidP="002A615E">
            <w:pPr>
              <w:shd w:val="clear" w:color="auto" w:fill="FFFFFF"/>
              <w:spacing w:before="150" w:after="150" w:line="240" w:lineRule="auto"/>
              <w:jc w:val="center"/>
              <w:rPr>
                <w:color w:val="000000"/>
                <w:sz w:val="28"/>
                <w:szCs w:val="28"/>
              </w:rPr>
            </w:pPr>
            <w:r w:rsidRPr="00EB1DD8">
              <w:rPr>
                <w:color w:val="000000"/>
                <w:position w:val="-10"/>
                <w:sz w:val="28"/>
                <w:szCs w:val="28"/>
              </w:rPr>
              <w:object w:dxaOrig="180" w:dyaOrig="340" w14:anchorId="5F683641">
                <v:shape id="_x0000_i1027" type="#_x0000_t75" style="width:8.75pt;height:17.55pt" o:ole="">
                  <v:imagedata r:id="rId19" o:title=""/>
                </v:shape>
                <o:OLEObject Type="Embed" ProgID="Equation.3" ShapeID="_x0000_i1027" DrawAspect="Content" ObjectID="_1689505253" r:id="rId20"/>
              </w:object>
            </w:r>
            <w:r w:rsidRPr="00EB1DD8">
              <w:rPr>
                <w:color w:val="000000"/>
                <w:position w:val="-24"/>
                <w:sz w:val="28"/>
                <w:szCs w:val="28"/>
              </w:rPr>
              <w:object w:dxaOrig="1240" w:dyaOrig="960" w14:anchorId="3BF654C6">
                <v:shape id="_x0000_i1028" type="#_x0000_t75" style="width:72.65pt;height:56.35pt" o:ole="">
                  <v:imagedata r:id="rId21" o:title=""/>
                </v:shape>
                <o:OLEObject Type="Embed" ProgID="Equation.3" ShapeID="_x0000_i1028" DrawAspect="Content" ObjectID="_1689505254" r:id="rId22"/>
              </w:object>
            </w:r>
          </w:p>
          <w:p w:rsidR="002A615E" w:rsidRPr="00EB1DD8" w:rsidRDefault="002A615E" w:rsidP="002A615E">
            <w:pPr>
              <w:shd w:val="clear" w:color="auto" w:fill="FFFFFF"/>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де</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7"/>
              <w:gridCol w:w="174"/>
              <w:gridCol w:w="4650"/>
            </w:tblGrid>
            <w:tr w:rsidR="002A615E" w:rsidRPr="00EB1DD8" w:rsidTr="000148BC">
              <w:tc>
                <w:tcPr>
                  <w:tcW w:w="765"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w:t>
                  </w:r>
                  <w:r w:rsidRPr="00EB1DD8">
                    <w:rPr>
                      <w:rFonts w:ascii="Times New Roman" w:eastAsia="Times New Roman" w:hAnsi="Times New Roman" w:cs="Times New Roman"/>
                      <w:b/>
                      <w:bCs/>
                      <w:sz w:val="16"/>
                      <w:szCs w:val="16"/>
                      <w:vertAlign w:val="subscript"/>
                      <w:lang w:eastAsia="uk-UA"/>
                    </w:rPr>
                    <w:t>i</w:t>
                  </w:r>
                </w:p>
              </w:tc>
              <w:tc>
                <w:tcPr>
                  <w:tcW w:w="240" w:type="dxa"/>
                  <w:tcBorders>
                    <w:top w:val="nil"/>
                    <w:left w:val="nil"/>
                    <w:bottom w:val="nil"/>
                    <w:right w:val="nil"/>
                  </w:tcBorders>
                  <w:hideMark/>
                </w:tcPr>
                <w:p w:rsidR="002A615E" w:rsidRPr="00EB1DD8" w:rsidRDefault="002A615E" w:rsidP="002A615E">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8160"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позитивний нетто-дохід установи за i-й рік;</w:t>
                  </w:r>
                </w:p>
              </w:tc>
            </w:tr>
            <w:tr w:rsidR="002A615E" w:rsidRPr="00EB1DD8" w:rsidTr="000148BC">
              <w:tc>
                <w:tcPr>
                  <w:tcW w:w="765"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n</w:t>
                  </w:r>
                </w:p>
              </w:tc>
              <w:tc>
                <w:tcPr>
                  <w:tcW w:w="240" w:type="dxa"/>
                  <w:tcBorders>
                    <w:top w:val="nil"/>
                    <w:left w:val="nil"/>
                    <w:bottom w:val="nil"/>
                    <w:right w:val="nil"/>
                  </w:tcBorders>
                  <w:hideMark/>
                </w:tcPr>
                <w:p w:rsidR="002A615E" w:rsidRPr="00EB1DD8" w:rsidRDefault="002A615E" w:rsidP="002A615E">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8160"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кількість фінансових років із попередніх трьох, що передують даті розрахунку, в яких нетто-дохід був позитивний.</w:t>
                  </w:r>
                </w:p>
              </w:tc>
            </w:tr>
          </w:tbl>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5. Нетто-дохід є величиною, що включає такі складові, які визначаються на підставі даних фінансової звітності і включаються до розрахунку з додатним або від’ємним знаком:</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чистий дохід від реалізації продукції (товарів, робіт, послуг);</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собівартість реалізованої продукції (товарів, робіт, послуг);</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інші операційні доходи;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інші фінансові доходи;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фінансові витрати.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До нетто-доходу установи не включаються доходи від операцій, що виникли внаслідок надзвичайних або непередбачуваних обставин, а також дохід, отриманий у вигляді страхових виплат.</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6. Якщо установа провадить професійну діяльність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 xml:space="preserve"> менше ніж три роки, до розрахунку береться річний нетто-дохід за кількість повних фінансових років здійснення установою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lastRenderedPageBreak/>
              <w:t>7. Нормативне значення коефіцієнта покриття операційного ризику для Компаній становить не менше 1.</w:t>
            </w:r>
          </w:p>
        </w:tc>
        <w:tc>
          <w:tcPr>
            <w:tcW w:w="4945" w:type="dxa"/>
          </w:tcPr>
          <w:p w:rsidR="002A615E" w:rsidRPr="00EB1DD8" w:rsidRDefault="002A615E" w:rsidP="002A615E">
            <w:pPr>
              <w:shd w:val="clear" w:color="auto" w:fill="FFFFFF"/>
              <w:spacing w:before="150" w:after="0" w:line="240" w:lineRule="auto"/>
              <w:ind w:left="450" w:right="450"/>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Без змін.</w:t>
            </w:r>
          </w:p>
        </w:tc>
        <w:tc>
          <w:tcPr>
            <w:tcW w:w="5405"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4. Коефіцієнт покриття операційного ризику</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Коефіцієнт покриття операційного ризику відображає здатність Компанії забезпечувати покриття своїх операційних ризиків </w:t>
            </w:r>
            <w:r w:rsidRPr="00EB1DD8">
              <w:rPr>
                <w:rFonts w:ascii="Times New Roman" w:eastAsia="Times New Roman" w:hAnsi="Times New Roman" w:cs="Times New Roman"/>
                <w:b/>
                <w:sz w:val="24"/>
                <w:szCs w:val="24"/>
                <w:lang w:eastAsia="uk-UA"/>
              </w:rPr>
              <w:t>регулятивним капіталом</w:t>
            </w:r>
            <w:r w:rsidRPr="00EB1DD8">
              <w:rPr>
                <w:rFonts w:ascii="Times New Roman" w:eastAsia="Times New Roman" w:hAnsi="Times New Roman" w:cs="Times New Roman"/>
                <w:sz w:val="24"/>
                <w:szCs w:val="24"/>
                <w:lang w:eastAsia="uk-UA"/>
              </w:rPr>
              <w:t xml:space="preserve"> на рівні 15 % від її середньорічного позитивного нетто-доходу за 3 попередні фінансові роки.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Коефіцієнт покриття операційного ризику розраховується як відношення розміру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установи до величини її операційного ризику за формулою</w:t>
            </w:r>
          </w:p>
          <w:p w:rsidR="002A615E" w:rsidRPr="00EB1DD8" w:rsidRDefault="002A615E" w:rsidP="002A615E">
            <w:pPr>
              <w:spacing w:after="0" w:line="240" w:lineRule="auto"/>
              <w:jc w:val="center"/>
              <w:rPr>
                <w:rFonts w:ascii="Times New Roman" w:eastAsia="Times New Roman" w:hAnsi="Times New Roman" w:cs="Times New Roman"/>
                <w:sz w:val="24"/>
                <w:szCs w:val="24"/>
                <w:u w:val="single"/>
                <w:lang w:eastAsia="ru-RU"/>
              </w:rPr>
            </w:pPr>
            <w:r w:rsidRPr="00EB1DD8">
              <w:rPr>
                <w:rFonts w:ascii="Times New Roman" w:eastAsia="Times New Roman" w:hAnsi="Times New Roman" w:cs="Times New Roman"/>
                <w:b/>
                <w:sz w:val="24"/>
                <w:szCs w:val="24"/>
                <w:u w:val="single"/>
                <w:lang w:val="ru-RU" w:eastAsia="uk-UA"/>
              </w:rPr>
              <w:t>Р</w:t>
            </w:r>
            <w:r w:rsidRPr="00EB1DD8">
              <w:rPr>
                <w:rFonts w:ascii="Times New Roman" w:eastAsia="Times New Roman" w:hAnsi="Times New Roman" w:cs="Times New Roman"/>
                <w:b/>
                <w:sz w:val="24"/>
                <w:szCs w:val="24"/>
                <w:u w:val="single"/>
                <w:lang w:eastAsia="uk-UA"/>
              </w:rPr>
              <w:t>егулятивни</w:t>
            </w:r>
            <w:r w:rsidRPr="00EB1DD8">
              <w:rPr>
                <w:rFonts w:ascii="Times New Roman" w:eastAsia="Times New Roman" w:hAnsi="Times New Roman" w:cs="Times New Roman"/>
                <w:b/>
                <w:sz w:val="24"/>
                <w:szCs w:val="24"/>
                <w:u w:val="single"/>
                <w:lang w:val="ru-RU" w:eastAsia="uk-UA"/>
              </w:rPr>
              <w:t>й</w:t>
            </w:r>
            <w:r w:rsidRPr="00EB1DD8">
              <w:rPr>
                <w:rFonts w:ascii="Times New Roman" w:eastAsia="Times New Roman" w:hAnsi="Times New Roman" w:cs="Times New Roman"/>
                <w:b/>
                <w:sz w:val="24"/>
                <w:szCs w:val="24"/>
                <w:u w:val="single"/>
                <w:lang w:eastAsia="uk-UA"/>
              </w:rPr>
              <w:t xml:space="preserve"> капітал</w:t>
            </w:r>
          </w:p>
          <w:p w:rsidR="002A615E" w:rsidRPr="00EB1DD8" w:rsidRDefault="002A615E" w:rsidP="002A615E">
            <w:pPr>
              <w:spacing w:after="0" w:line="240" w:lineRule="auto"/>
              <w:jc w:val="center"/>
              <w:rPr>
                <w:rFonts w:ascii="Times New Roman" w:eastAsia="Times New Roman" w:hAnsi="Times New Roman" w:cs="Times New Roman"/>
                <w:sz w:val="24"/>
                <w:szCs w:val="24"/>
                <w:lang w:eastAsia="ru-RU"/>
              </w:rPr>
            </w:pPr>
            <w:r w:rsidRPr="00EB1DD8">
              <w:rPr>
                <w:rFonts w:ascii="Times New Roman" w:eastAsia="Times New Roman" w:hAnsi="Times New Roman" w:cs="Times New Roman"/>
                <w:sz w:val="24"/>
                <w:szCs w:val="24"/>
                <w:lang w:eastAsia="ru-RU"/>
              </w:rPr>
              <w:t>Величина операційного ризику</w:t>
            </w:r>
          </w:p>
          <w:p w:rsidR="002A615E" w:rsidRPr="00EB1DD8" w:rsidRDefault="002A615E" w:rsidP="002A615E">
            <w:pPr>
              <w:shd w:val="clear" w:color="auto" w:fill="FFFFFF"/>
              <w:spacing w:before="120"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егулятивни</w:t>
            </w:r>
            <w:r w:rsidRPr="00EB1DD8">
              <w:rPr>
                <w:rFonts w:ascii="Times New Roman" w:eastAsia="Times New Roman" w:hAnsi="Times New Roman" w:cs="Times New Roman"/>
                <w:b/>
                <w:sz w:val="24"/>
                <w:szCs w:val="24"/>
                <w:lang w:val="ru-RU" w:eastAsia="uk-UA"/>
              </w:rPr>
              <w:t>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sz w:val="24"/>
                <w:szCs w:val="24"/>
                <w:lang w:eastAsia="uk-UA"/>
              </w:rPr>
              <w:t xml:space="preserve"> розрахову</w:t>
            </w:r>
            <w:r w:rsidRPr="00EB1DD8">
              <w:rPr>
                <w:rFonts w:ascii="Times New Roman" w:eastAsia="Times New Roman" w:hAnsi="Times New Roman" w:cs="Times New Roman"/>
                <w:b/>
                <w:sz w:val="24"/>
                <w:szCs w:val="24"/>
                <w:lang w:val="ru-RU" w:eastAsia="uk-UA"/>
              </w:rPr>
              <w:t>є</w:t>
            </w:r>
            <w:r w:rsidRPr="00EB1DD8">
              <w:rPr>
                <w:rFonts w:ascii="Times New Roman" w:eastAsia="Times New Roman" w:hAnsi="Times New Roman" w:cs="Times New Roman"/>
                <w:sz w:val="24"/>
                <w:szCs w:val="24"/>
                <w:lang w:eastAsia="uk-UA"/>
              </w:rPr>
              <w:t>ться в порядку, передбаченому </w:t>
            </w:r>
            <w:hyperlink r:id="rId23" w:anchor="n72" w:history="1">
              <w:r w:rsidRPr="00EB1DD8">
                <w:rPr>
                  <w:rFonts w:ascii="Times New Roman" w:eastAsia="Times New Roman" w:hAnsi="Times New Roman" w:cs="Times New Roman"/>
                  <w:sz w:val="24"/>
                  <w:szCs w:val="24"/>
                  <w:lang w:eastAsia="uk-UA"/>
                </w:rPr>
                <w:t>главою</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2</w:t>
              </w:r>
            </w:hyperlink>
            <w:r w:rsidRPr="00EB1DD8">
              <w:rPr>
                <w:rFonts w:ascii="Times New Roman" w:eastAsia="Times New Roman" w:hAnsi="Times New Roman" w:cs="Times New Roman"/>
                <w:sz w:val="24"/>
                <w:szCs w:val="24"/>
                <w:lang w:eastAsia="uk-UA"/>
              </w:rPr>
              <w:t xml:space="preserve"> розділу </w:t>
            </w:r>
            <w:r w:rsidRPr="00EB1DD8">
              <w:rPr>
                <w:rFonts w:ascii="Times New Roman" w:eastAsia="Times New Roman" w:hAnsi="Times New Roman" w:cs="Times New Roman"/>
                <w:b/>
                <w:sz w:val="24"/>
                <w:szCs w:val="24"/>
                <w:lang w:eastAsia="uk-UA"/>
              </w:rPr>
              <w:t>ІІ</w:t>
            </w:r>
            <w:r w:rsidRPr="00EB1DD8">
              <w:rPr>
                <w:rFonts w:ascii="Times New Roman" w:eastAsia="Times New Roman" w:hAnsi="Times New Roman" w:cs="Times New Roman"/>
                <w:sz w:val="24"/>
                <w:szCs w:val="24"/>
                <w:lang w:eastAsia="uk-UA"/>
              </w:rPr>
              <w:t xml:space="preserve"> цього Положення.</w:t>
            </w:r>
          </w:p>
          <w:p w:rsidR="002A615E" w:rsidRPr="00EB1DD8" w:rsidRDefault="002A615E" w:rsidP="002A615E">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Величина операційного ризику становить 15 % від розміру середнього річного нетто-доходу установи за 3 попередні фінансові роки, в які був отриманий позитивний нетто-дохід, і розраховується за формулою</w:t>
            </w:r>
          </w:p>
          <w:p w:rsidR="002A615E" w:rsidRPr="00EB1DD8" w:rsidRDefault="002A615E" w:rsidP="002A615E">
            <w:pPr>
              <w:shd w:val="clear" w:color="auto" w:fill="FFFFFF"/>
              <w:spacing w:before="150" w:after="150" w:line="240" w:lineRule="auto"/>
              <w:jc w:val="center"/>
              <w:rPr>
                <w:color w:val="000000"/>
                <w:sz w:val="28"/>
                <w:szCs w:val="28"/>
              </w:rPr>
            </w:pPr>
            <w:r w:rsidRPr="00EB1DD8">
              <w:rPr>
                <w:color w:val="000000"/>
                <w:position w:val="-10"/>
                <w:sz w:val="28"/>
                <w:szCs w:val="28"/>
              </w:rPr>
              <w:object w:dxaOrig="180" w:dyaOrig="340">
                <v:shape id="_x0000_i1029" type="#_x0000_t75" style="width:8.75pt;height:17.55pt" o:ole="">
                  <v:imagedata r:id="rId19" o:title=""/>
                </v:shape>
                <o:OLEObject Type="Embed" ProgID="Equation.3" ShapeID="_x0000_i1029" DrawAspect="Content" ObjectID="_1689505255" r:id="rId24"/>
              </w:object>
            </w:r>
            <w:r w:rsidRPr="00EB1DD8">
              <w:rPr>
                <w:color w:val="000000"/>
                <w:position w:val="-24"/>
                <w:sz w:val="28"/>
                <w:szCs w:val="28"/>
              </w:rPr>
              <w:object w:dxaOrig="1240" w:dyaOrig="960">
                <v:shape id="_x0000_i1030" type="#_x0000_t75" style="width:72.65pt;height:56.35pt" o:ole="">
                  <v:imagedata r:id="rId21" o:title=""/>
                </v:shape>
                <o:OLEObject Type="Embed" ProgID="Equation.3" ShapeID="_x0000_i1030" DrawAspect="Content" ObjectID="_1689505256" r:id="rId25"/>
              </w:object>
            </w:r>
          </w:p>
          <w:p w:rsidR="002A615E" w:rsidRPr="00EB1DD8" w:rsidRDefault="002A615E" w:rsidP="002A615E">
            <w:pPr>
              <w:shd w:val="clear" w:color="auto" w:fill="FFFFFF"/>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де</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9"/>
              <w:gridCol w:w="171"/>
              <w:gridCol w:w="4539"/>
            </w:tblGrid>
            <w:tr w:rsidR="002A615E" w:rsidRPr="00EB1DD8" w:rsidTr="003D70DB">
              <w:tc>
                <w:tcPr>
                  <w:tcW w:w="765"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w:t>
                  </w:r>
                  <w:r w:rsidRPr="00EB1DD8">
                    <w:rPr>
                      <w:rFonts w:ascii="Times New Roman" w:eastAsia="Times New Roman" w:hAnsi="Times New Roman" w:cs="Times New Roman"/>
                      <w:b/>
                      <w:bCs/>
                      <w:sz w:val="16"/>
                      <w:szCs w:val="16"/>
                      <w:vertAlign w:val="subscript"/>
                      <w:lang w:eastAsia="uk-UA"/>
                    </w:rPr>
                    <w:t>i</w:t>
                  </w:r>
                </w:p>
              </w:tc>
              <w:tc>
                <w:tcPr>
                  <w:tcW w:w="240" w:type="dxa"/>
                  <w:tcBorders>
                    <w:top w:val="nil"/>
                    <w:left w:val="nil"/>
                    <w:bottom w:val="nil"/>
                    <w:right w:val="nil"/>
                  </w:tcBorders>
                  <w:hideMark/>
                </w:tcPr>
                <w:p w:rsidR="002A615E" w:rsidRPr="00EB1DD8" w:rsidRDefault="002A615E" w:rsidP="002A615E">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8160"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позитивний нетто-дохід установи за i-й рік;</w:t>
                  </w:r>
                </w:p>
              </w:tc>
            </w:tr>
            <w:tr w:rsidR="002A615E" w:rsidRPr="00EB1DD8" w:rsidTr="003D70DB">
              <w:tc>
                <w:tcPr>
                  <w:tcW w:w="765"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n</w:t>
                  </w:r>
                </w:p>
              </w:tc>
              <w:tc>
                <w:tcPr>
                  <w:tcW w:w="240" w:type="dxa"/>
                  <w:tcBorders>
                    <w:top w:val="nil"/>
                    <w:left w:val="nil"/>
                    <w:bottom w:val="nil"/>
                    <w:right w:val="nil"/>
                  </w:tcBorders>
                  <w:hideMark/>
                </w:tcPr>
                <w:p w:rsidR="002A615E" w:rsidRPr="00EB1DD8" w:rsidRDefault="002A615E" w:rsidP="002A615E">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8160" w:type="dxa"/>
                  <w:tcBorders>
                    <w:top w:val="nil"/>
                    <w:left w:val="nil"/>
                    <w:bottom w:val="nil"/>
                    <w:right w:val="nil"/>
                  </w:tcBorders>
                  <w:hideMark/>
                </w:tcPr>
                <w:p w:rsidR="002A615E" w:rsidRPr="00EB1DD8" w:rsidRDefault="002A615E" w:rsidP="002A615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кількість фінансових років із попередніх трьох, що передують даті розрахунку, в яких нетто-дохід був позитивний.</w:t>
                  </w:r>
                </w:p>
              </w:tc>
            </w:tr>
          </w:tbl>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5. Нетто-дохід є величиною, що включає такі складові, які визначаються на підставі даних фінансової звітності і включаються до розрахунку з додатним або від’ємним знаком:</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чистий дохід від реалізації продукції (товарів, робіт, послуг);</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собівартість реалізованої продукції (товарів, робіт, послуг);</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інші операційні доходи;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інші фінансові доходи;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фінансові витрати.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До нетто-доходу установи не включаються доходи від операцій, що виникли внаслідок надзвичайних або непередбачуваних обставин, а також дохід, отриманий у вигляді страхових виплат.</w:t>
            </w:r>
          </w:p>
          <w:p w:rsidR="001A1ED8" w:rsidRPr="00EB1DD8" w:rsidRDefault="002A615E" w:rsidP="001A1ED8">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6. Якщо установа провадить професійну діяльність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 xml:space="preserve"> менше ніж три роки, до розрахунку береться річний нетто-дохід за кількість повних фінансових років здійснення установою професійної діяльності на </w:t>
            </w:r>
            <w:r w:rsidRPr="00EB1DD8">
              <w:rPr>
                <w:rFonts w:ascii="Times New Roman" w:eastAsia="Times New Roman" w:hAnsi="Times New Roman" w:cs="Times New Roman"/>
                <w:b/>
                <w:sz w:val="24"/>
                <w:szCs w:val="24"/>
                <w:lang w:eastAsia="uk-UA"/>
              </w:rPr>
              <w:t>ринках капіталу</w:t>
            </w:r>
            <w:r w:rsidR="001A1ED8" w:rsidRPr="00EB1DD8">
              <w:rPr>
                <w:rFonts w:ascii="Times New Roman" w:eastAsia="Times New Roman" w:hAnsi="Times New Roman" w:cs="Times New Roman"/>
                <w:sz w:val="24"/>
                <w:szCs w:val="24"/>
                <w:lang w:eastAsia="uk-UA"/>
              </w:rPr>
              <w:t>.</w:t>
            </w:r>
          </w:p>
          <w:p w:rsidR="002A615E" w:rsidRPr="00EB1DD8" w:rsidRDefault="002A615E" w:rsidP="001A1ED8">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7. Нормативне значення коефіцієнта покриття операційного ризику для Компаній становить не менше 1.</w:t>
            </w:r>
          </w:p>
        </w:tc>
      </w:tr>
      <w:tr w:rsidR="002A615E" w:rsidRPr="00EB1DD8" w:rsidTr="0018386F">
        <w:trPr>
          <w:trHeight w:val="554"/>
        </w:trPr>
        <w:tc>
          <w:tcPr>
            <w:tcW w:w="5527"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5. Коефіцієнт фінансової стійкості</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Коефіцієнт фінансової стійкості відображає питому вагу власного капіталу у загальній вартості засобів, що використовуються Компанією у її діяльності (авансованих у діяльність установи), та характеризує фінансову стійкість установи, а також незалежність її діяльності від зовнішніх джерел фінансування.</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Коефіцієнт фінансової стійкості розраховується як відношення розміру власного капіталу установи до вартості її активів за формулою</w:t>
            </w:r>
          </w:p>
          <w:p w:rsidR="002A615E" w:rsidRPr="00EB1DD8" w:rsidRDefault="002A615E" w:rsidP="002A615E">
            <w:pPr>
              <w:spacing w:after="0" w:line="240" w:lineRule="auto"/>
              <w:ind w:firstLine="709"/>
              <w:jc w:val="center"/>
              <w:rPr>
                <w:rFonts w:ascii="Times New Roman" w:hAnsi="Times New Roman" w:cs="Times New Roman"/>
                <w:sz w:val="24"/>
                <w:szCs w:val="24"/>
                <w:u w:val="single"/>
              </w:rPr>
            </w:pPr>
            <w:r w:rsidRPr="00EB1DD8">
              <w:rPr>
                <w:rFonts w:ascii="Times New Roman" w:hAnsi="Times New Roman" w:cs="Times New Roman"/>
                <w:sz w:val="24"/>
                <w:szCs w:val="24"/>
                <w:u w:val="single"/>
              </w:rPr>
              <w:t>Власний капітал</w:t>
            </w:r>
          </w:p>
          <w:p w:rsidR="002A615E" w:rsidRPr="00EB1DD8" w:rsidRDefault="002A615E" w:rsidP="002A615E">
            <w:pPr>
              <w:ind w:firstLine="709"/>
              <w:jc w:val="center"/>
              <w:rPr>
                <w:rFonts w:ascii="Times New Roman" w:hAnsi="Times New Roman" w:cs="Times New Roman"/>
                <w:sz w:val="24"/>
                <w:szCs w:val="24"/>
              </w:rPr>
            </w:pPr>
            <w:r w:rsidRPr="00EB1DD8">
              <w:rPr>
                <w:rFonts w:ascii="Times New Roman" w:hAnsi="Times New Roman" w:cs="Times New Roman"/>
                <w:sz w:val="24"/>
                <w:szCs w:val="24"/>
              </w:rPr>
              <w:t>Активи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Власний капітал та активи використовуються у значеннях, визначених </w:t>
            </w:r>
            <w:hyperlink r:id="rId26" w:tgtFrame="_blank" w:history="1">
              <w:r w:rsidRPr="00EB1DD8">
                <w:rPr>
                  <w:rFonts w:ascii="Times New Roman" w:eastAsia="Times New Roman" w:hAnsi="Times New Roman" w:cs="Times New Roman"/>
                  <w:sz w:val="24"/>
                  <w:szCs w:val="24"/>
                  <w:lang w:eastAsia="uk-UA"/>
                </w:rPr>
                <w:t>Законом України</w:t>
              </w:r>
            </w:hyperlink>
            <w:r w:rsidRPr="00EB1DD8">
              <w:rPr>
                <w:rFonts w:ascii="Times New Roman" w:eastAsia="Times New Roman" w:hAnsi="Times New Roman" w:cs="Times New Roman"/>
                <w:sz w:val="24"/>
                <w:szCs w:val="24"/>
                <w:lang w:eastAsia="uk-UA"/>
              </w:rPr>
              <w:t> «Про бухгалтерський облік та фінансову звітність в Україні» та положеннями (стандартами) бухгалтерського обліку.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4. Нормативне значення коефіцієнта фінансової стійкості для Компаній становить не менше 0,5.</w:t>
            </w:r>
          </w:p>
        </w:tc>
        <w:tc>
          <w:tcPr>
            <w:tcW w:w="4945" w:type="dxa"/>
          </w:tcPr>
          <w:p w:rsidR="002A615E" w:rsidRPr="00EB1DD8" w:rsidRDefault="002A615E" w:rsidP="002A615E">
            <w:pPr>
              <w:shd w:val="clear" w:color="auto" w:fill="FFFFFF"/>
              <w:spacing w:before="150" w:after="0" w:line="240" w:lineRule="auto"/>
              <w:ind w:left="450" w:right="450"/>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Без змін.</w:t>
            </w:r>
          </w:p>
        </w:tc>
        <w:tc>
          <w:tcPr>
            <w:tcW w:w="5405"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5. Коефіцієнт фінансової стійкості</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Коефіцієнт фінансової стійкості відображає питому вагу власного капіталу у загальній вартості засобів, що використовуються Компанією у її діяльності (авансованих у діяльність установи), та характеризує фінансову стійкість установи, а також незалежність її діяльності від зовнішніх джерел фінансування.</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Коефіцієнт фінансової стійкості розраховується як відношення розміру власного капіталу установи до вартості її активів за формулою</w:t>
            </w:r>
          </w:p>
          <w:p w:rsidR="002A615E" w:rsidRPr="00EB1DD8" w:rsidRDefault="002A615E" w:rsidP="002A615E">
            <w:pPr>
              <w:spacing w:after="0" w:line="240" w:lineRule="auto"/>
              <w:ind w:firstLine="709"/>
              <w:jc w:val="center"/>
              <w:rPr>
                <w:rFonts w:ascii="Times New Roman" w:hAnsi="Times New Roman" w:cs="Times New Roman"/>
                <w:sz w:val="24"/>
                <w:szCs w:val="24"/>
                <w:u w:val="single"/>
              </w:rPr>
            </w:pPr>
            <w:r w:rsidRPr="00EB1DD8">
              <w:rPr>
                <w:rFonts w:ascii="Times New Roman" w:hAnsi="Times New Roman" w:cs="Times New Roman"/>
                <w:sz w:val="24"/>
                <w:szCs w:val="24"/>
                <w:u w:val="single"/>
              </w:rPr>
              <w:t>Власний капітал</w:t>
            </w:r>
          </w:p>
          <w:p w:rsidR="002A615E" w:rsidRPr="00EB1DD8" w:rsidRDefault="002A615E" w:rsidP="002A615E">
            <w:pPr>
              <w:ind w:firstLine="709"/>
              <w:jc w:val="center"/>
              <w:rPr>
                <w:rFonts w:ascii="Times New Roman" w:hAnsi="Times New Roman" w:cs="Times New Roman"/>
                <w:sz w:val="24"/>
                <w:szCs w:val="24"/>
              </w:rPr>
            </w:pPr>
            <w:r w:rsidRPr="00EB1DD8">
              <w:rPr>
                <w:rFonts w:ascii="Times New Roman" w:hAnsi="Times New Roman" w:cs="Times New Roman"/>
                <w:sz w:val="24"/>
                <w:szCs w:val="24"/>
              </w:rPr>
              <w:t>Активи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Власний капітал та активи використовуються у значеннях, визначених </w:t>
            </w:r>
            <w:hyperlink r:id="rId27" w:tgtFrame="_blank" w:history="1">
              <w:r w:rsidRPr="00EB1DD8">
                <w:rPr>
                  <w:rFonts w:ascii="Times New Roman" w:eastAsia="Times New Roman" w:hAnsi="Times New Roman" w:cs="Times New Roman"/>
                  <w:sz w:val="24"/>
                  <w:szCs w:val="24"/>
                  <w:lang w:eastAsia="uk-UA"/>
                </w:rPr>
                <w:t>Законом України</w:t>
              </w:r>
            </w:hyperlink>
            <w:r w:rsidRPr="00EB1DD8">
              <w:rPr>
                <w:rFonts w:ascii="Times New Roman" w:eastAsia="Times New Roman" w:hAnsi="Times New Roman" w:cs="Times New Roman"/>
                <w:sz w:val="24"/>
                <w:szCs w:val="24"/>
                <w:lang w:eastAsia="uk-UA"/>
              </w:rPr>
              <w:t xml:space="preserve"> «Про бухгалтерський облік та фінансову звітність в Україні» та положеннями (стандартами) бухгалтерського обліку.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Нормативне значення коефіцієнта фінансової стійкості для Компаній становить не менше 0,5.</w:t>
            </w:r>
          </w:p>
        </w:tc>
      </w:tr>
      <w:tr w:rsidR="002A615E" w:rsidRPr="00EB1DD8" w:rsidTr="0018386F">
        <w:trPr>
          <w:trHeight w:val="554"/>
        </w:trPr>
        <w:tc>
          <w:tcPr>
            <w:tcW w:w="5527"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6. Норматив концентрації кредитного ризику</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lastRenderedPageBreak/>
              <w:t>1. Норматив концентрації кредитного ризику встановлює обмеження кредитного ризику Компанії, що може виникнути внаслідок невиконання своїх зобов’язань окремим її контрагентом.</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2. Норматив концентрації кредитного ризику розраховується в порядку, передбаченому </w:t>
            </w:r>
            <w:hyperlink r:id="rId28" w:anchor="n72" w:history="1">
              <w:r w:rsidRPr="00EB1DD8">
                <w:rPr>
                  <w:rFonts w:ascii="Times New Roman" w:eastAsia="Times New Roman" w:hAnsi="Times New Roman" w:cs="Times New Roman"/>
                  <w:b/>
                  <w:sz w:val="24"/>
                  <w:szCs w:val="24"/>
                  <w:lang w:eastAsia="uk-UA"/>
                </w:rPr>
                <w:t>главою 7</w:t>
              </w:r>
            </w:hyperlink>
            <w:r w:rsidRPr="00EB1DD8">
              <w:rPr>
                <w:rFonts w:ascii="Times New Roman" w:eastAsia="Times New Roman" w:hAnsi="Times New Roman" w:cs="Times New Roman"/>
                <w:b/>
                <w:sz w:val="24"/>
                <w:szCs w:val="24"/>
                <w:lang w:eastAsia="uk-UA"/>
              </w:rPr>
              <w:t xml:space="preserve"> розділу ІІ цього Положення.</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3. Нормативне значення нормативу концентрації кредитного ризику щодо окремого контрагента, крім банків та інвестиційних фірм, становить не більше 25%. При цьому значення нормативу концентрації кредитного ризику щодо окремого контрагента не має бути від’ємним.</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t>4. Нормативне значення нормативу концентрації кредитного ризику щодо окремого контрагента, що є банком або інвестиційною фірмою, становить не більше 100%. При цьому значення нормативу концентрації кредитного ризику щодо окремого контрагента не має бути від’ємним.</w:t>
            </w:r>
          </w:p>
        </w:tc>
        <w:tc>
          <w:tcPr>
            <w:tcW w:w="4945" w:type="dxa"/>
          </w:tcPr>
          <w:p w:rsidR="002A615E" w:rsidRPr="00EB1DD8" w:rsidRDefault="002A615E" w:rsidP="002A615E">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eastAsia="Times New Roman" w:hAnsi="Times New Roman" w:cs="Times New Roman"/>
                <w:b/>
                <w:sz w:val="24"/>
                <w:szCs w:val="24"/>
                <w:lang w:eastAsia="uk-UA"/>
              </w:rPr>
              <w:lastRenderedPageBreak/>
              <w:t>Цей показник є зайвим для КУА. Див. вище зауваження до пп. 5 п. 1 глави 1 цього розділу.</w:t>
            </w:r>
          </w:p>
        </w:tc>
        <w:tc>
          <w:tcPr>
            <w:tcW w:w="5405"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tc>
      </w:tr>
      <w:tr w:rsidR="002A615E" w:rsidRPr="00EB1DD8" w:rsidTr="0018386F">
        <w:trPr>
          <w:trHeight w:val="554"/>
        </w:trPr>
        <w:tc>
          <w:tcPr>
            <w:tcW w:w="5527" w:type="dxa"/>
          </w:tcPr>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t>X. Пруденційні нормативи, що використовуються для вимірювання та оцінки ризиків діяльності з адміністрування недержавних пенсійних фондів, їх розрахунок та нормативні значення</w:t>
            </w:r>
          </w:p>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 xml:space="preserve">1. Показники, що використовуються для вимірювання та оцінки ризиків </w:t>
            </w:r>
            <w:r w:rsidRPr="00EB1DD8">
              <w:rPr>
                <w:rFonts w:ascii="Times New Roman" w:eastAsia="Times New Roman" w:hAnsi="Times New Roman" w:cs="Times New Roman"/>
                <w:b/>
                <w:bCs/>
                <w:sz w:val="24"/>
                <w:szCs w:val="24"/>
                <w:lang w:eastAsia="uk-UA"/>
              </w:rPr>
              <w:lastRenderedPageBreak/>
              <w:t>діяльності з адміністрування недержавних пенсійних фондів</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Для вимірювання та оцінки ризиків діяльності з адміністрування недержавних пенсійних фондів використовуються такі показники: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 розмір регулятивного капіталу;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2</w:t>
            </w:r>
            <w:r w:rsidRPr="00EB1DD8">
              <w:rPr>
                <w:rFonts w:ascii="Times New Roman" w:eastAsia="Times New Roman" w:hAnsi="Times New Roman" w:cs="Times New Roman"/>
                <w:sz w:val="24"/>
                <w:szCs w:val="24"/>
                <w:lang w:eastAsia="uk-UA"/>
              </w:rPr>
              <w:t xml:space="preserve">)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3</w:t>
            </w:r>
            <w:r w:rsidRPr="00EB1DD8">
              <w:rPr>
                <w:rFonts w:ascii="Times New Roman" w:eastAsia="Times New Roman" w:hAnsi="Times New Roman" w:cs="Times New Roman"/>
                <w:sz w:val="24"/>
                <w:szCs w:val="24"/>
                <w:lang w:eastAsia="uk-UA"/>
              </w:rPr>
              <w:t>) коефіцієнт покриття операційного ризику;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4) норматив концентрації кредитного ризику.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адміністраторів недержавних пенсійних фондів до закінчення першого повного фінансового року з дати видачі ліцензії в разі, якщо вони вперше отримали ліцензію на провадження діяльності з адміністрування недержавних пенсійних фондів.</w:t>
            </w:r>
          </w:p>
        </w:tc>
        <w:tc>
          <w:tcPr>
            <w:tcW w:w="4945" w:type="dxa"/>
          </w:tcPr>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eastAsia="Times New Roman" w:hAnsi="Times New Roman" w:cs="Times New Roman"/>
                <w:b/>
                <w:sz w:val="24"/>
                <w:szCs w:val="24"/>
                <w:lang w:eastAsia="uk-UA"/>
              </w:rPr>
              <w:t xml:space="preserve">Цей показник є зайвим, необгрунтованим для АНПФ. </w:t>
            </w:r>
            <w:r w:rsidRPr="00EB1DD8">
              <w:rPr>
                <w:rFonts w:ascii="Times New Roman" w:hAnsi="Times New Roman" w:cs="Times New Roman"/>
                <w:b/>
                <w:sz w:val="24"/>
                <w:szCs w:val="24"/>
              </w:rPr>
              <w:t>У Положенні № 1597</w:t>
            </w:r>
            <w:r w:rsidRPr="00EB1DD8">
              <w:rPr>
                <w:rFonts w:ascii="Times New Roman" w:hAnsi="Times New Roman" w:cs="Times New Roman"/>
                <w:sz w:val="24"/>
                <w:szCs w:val="24"/>
              </w:rPr>
              <w:t xml:space="preserve"> </w:t>
            </w:r>
            <w:r w:rsidRPr="00EB1DD8">
              <w:rPr>
                <w:rFonts w:ascii="Times New Roman" w:hAnsi="Times New Roman" w:cs="Times New Roman"/>
                <w:b/>
                <w:sz w:val="24"/>
                <w:szCs w:val="24"/>
              </w:rPr>
              <w:t>вже є пруденційні показники для АНПФ, достатні для пруденційного нагляду за їхньою діяльністю, а саме: норматив достатності власних коштів</w:t>
            </w:r>
            <w:r w:rsidRPr="00EB1DD8">
              <w:rPr>
                <w:rFonts w:ascii="Times New Roman" w:hAnsi="Times New Roman" w:cs="Times New Roman"/>
                <w:sz w:val="24"/>
                <w:szCs w:val="24"/>
              </w:rPr>
              <w:t xml:space="preserve"> </w:t>
            </w:r>
            <w:r w:rsidRPr="00EB1DD8">
              <w:rPr>
                <w:rFonts w:ascii="Times New Roman" w:hAnsi="Times New Roman" w:cs="Times New Roman"/>
                <w:b/>
                <w:sz w:val="24"/>
                <w:szCs w:val="24"/>
              </w:rPr>
              <w:t>та</w:t>
            </w:r>
            <w:r w:rsidRPr="00EB1DD8">
              <w:rPr>
                <w:rFonts w:ascii="Times New Roman" w:hAnsi="Times New Roman" w:cs="Times New Roman"/>
                <w:sz w:val="24"/>
                <w:szCs w:val="24"/>
              </w:rPr>
              <w:t xml:space="preserve"> </w:t>
            </w:r>
            <w:r w:rsidRPr="00EB1DD8">
              <w:rPr>
                <w:rFonts w:ascii="Times New Roman" w:hAnsi="Times New Roman" w:cs="Times New Roman"/>
                <w:b/>
                <w:bCs/>
                <w:sz w:val="24"/>
                <w:szCs w:val="24"/>
                <w:lang w:eastAsia="uk-UA"/>
              </w:rPr>
              <w:t xml:space="preserve">коефіцієнт </w:t>
            </w:r>
            <w:r w:rsidRPr="00EB1DD8">
              <w:rPr>
                <w:rFonts w:ascii="Times New Roman" w:hAnsi="Times New Roman" w:cs="Times New Roman"/>
                <w:b/>
                <w:sz w:val="24"/>
                <w:szCs w:val="24"/>
                <w:lang w:eastAsia="uk-UA"/>
              </w:rPr>
              <w:t xml:space="preserve">покриття операційного ризику. </w:t>
            </w:r>
            <w:r w:rsidRPr="00EB1DD8">
              <w:rPr>
                <w:rFonts w:ascii="Times New Roman" w:hAnsi="Times New Roman" w:cs="Times New Roman"/>
                <w:b/>
                <w:color w:val="000000"/>
                <w:sz w:val="24"/>
                <w:szCs w:val="24"/>
              </w:rPr>
              <w:t xml:space="preserve">Застосування вимог Регламентів ЄС чи інших документів, які регламентують діяльність банків та кредитних установ (зокрема, </w:t>
            </w:r>
            <w:r w:rsidR="00286DB1" w:rsidRPr="00EB1DD8">
              <w:rPr>
                <w:rFonts w:ascii="Times New Roman" w:hAnsi="Times New Roman" w:cs="Times New Roman"/>
                <w:b/>
                <w:color w:val="000000"/>
                <w:sz w:val="24"/>
                <w:szCs w:val="24"/>
              </w:rPr>
              <w:t xml:space="preserve">пакету </w:t>
            </w:r>
            <w:r w:rsidRPr="00EB1DD8">
              <w:rPr>
                <w:rFonts w:ascii="Times New Roman" w:hAnsi="Times New Roman" w:cs="Times New Roman"/>
                <w:b/>
                <w:color w:val="000000"/>
                <w:sz w:val="24"/>
                <w:szCs w:val="24"/>
              </w:rPr>
              <w:t xml:space="preserve">CRD </w:t>
            </w:r>
            <w:r w:rsidRPr="00EB1DD8">
              <w:rPr>
                <w:rFonts w:ascii="Times New Roman" w:hAnsi="Times New Roman" w:cs="Times New Roman"/>
                <w:b/>
                <w:color w:val="000000"/>
                <w:sz w:val="24"/>
                <w:szCs w:val="24"/>
                <w:lang w:val="en-US"/>
              </w:rPr>
              <w:t>IV</w:t>
            </w:r>
            <w:r w:rsidRPr="00EB1DD8">
              <w:rPr>
                <w:rFonts w:ascii="Times New Roman" w:hAnsi="Times New Roman" w:cs="Times New Roman"/>
                <w:b/>
                <w:color w:val="000000"/>
                <w:sz w:val="24"/>
                <w:szCs w:val="24"/>
              </w:rPr>
              <w:t xml:space="preserve">), що виходять за межі окремих статей, на які </w:t>
            </w:r>
            <w:r w:rsidRPr="00EB1DD8">
              <w:rPr>
                <w:rFonts w:ascii="Times New Roman" w:hAnsi="Times New Roman" w:cs="Times New Roman"/>
                <w:b/>
                <w:bCs/>
                <w:sz w:val="24"/>
                <w:szCs w:val="24"/>
                <w:lang w:eastAsia="uk-UA"/>
              </w:rPr>
              <w:t>посилаються</w:t>
            </w:r>
            <w:r w:rsidRPr="00EB1DD8">
              <w:rPr>
                <w:rFonts w:ascii="Times New Roman" w:hAnsi="Times New Roman" w:cs="Times New Roman"/>
                <w:b/>
                <w:color w:val="000000"/>
                <w:sz w:val="24"/>
                <w:szCs w:val="24"/>
              </w:rPr>
              <w:t xml:space="preserve"> спеціальні Директиви, що регламентують діяльність з управління активами та адміністрування інвестиційних і пенсійних фондів, і понад уже запроваджені чи запропоновані інші додаткові нормативи (у цьому випадку – </w:t>
            </w:r>
            <w:r w:rsidRPr="00EB1DD8">
              <w:rPr>
                <w:rFonts w:ascii="Times New Roman" w:hAnsi="Times New Roman" w:cs="Times New Roman"/>
                <w:b/>
                <w:bCs/>
                <w:sz w:val="24"/>
                <w:szCs w:val="24"/>
                <w:lang w:eastAsia="uk-UA"/>
              </w:rPr>
              <w:t xml:space="preserve">коефіцієнт </w:t>
            </w:r>
            <w:r w:rsidRPr="00EB1DD8">
              <w:rPr>
                <w:rFonts w:ascii="Times New Roman" w:hAnsi="Times New Roman" w:cs="Times New Roman"/>
                <w:b/>
                <w:sz w:val="24"/>
                <w:szCs w:val="24"/>
                <w:lang w:eastAsia="uk-UA"/>
              </w:rPr>
              <w:t>покриття операційного ризику</w:t>
            </w:r>
            <w:r w:rsidRPr="00EB1DD8">
              <w:rPr>
                <w:rFonts w:ascii="Times New Roman" w:hAnsi="Times New Roman" w:cs="Times New Roman"/>
                <w:b/>
                <w:bCs/>
                <w:sz w:val="24"/>
                <w:szCs w:val="24"/>
                <w:lang w:eastAsia="uk-UA"/>
              </w:rPr>
              <w:t xml:space="preserve"> та </w:t>
            </w:r>
            <w:r w:rsidRPr="00EB1DD8">
              <w:rPr>
                <w:rFonts w:ascii="Times New Roman" w:hAnsi="Times New Roman" w:cs="Times New Roman"/>
                <w:b/>
                <w:color w:val="000000"/>
                <w:sz w:val="24"/>
                <w:szCs w:val="24"/>
              </w:rPr>
              <w:t xml:space="preserve">розмір </w:t>
            </w:r>
            <w:r w:rsidRPr="00EB1DD8">
              <w:rPr>
                <w:rFonts w:ascii="Times New Roman" w:eastAsia="Times New Roman" w:hAnsi="Times New Roman" w:cs="Times New Roman"/>
                <w:b/>
                <w:sz w:val="24"/>
                <w:szCs w:val="24"/>
                <w:lang w:eastAsia="uk-UA"/>
              </w:rPr>
              <w:t>регулятивного капіталу відповідно</w:t>
            </w:r>
            <w:r w:rsidRPr="00EB1DD8">
              <w:rPr>
                <w:rFonts w:ascii="Times New Roman" w:hAnsi="Times New Roman" w:cs="Times New Roman"/>
                <w:b/>
                <w:color w:val="000000"/>
                <w:sz w:val="24"/>
                <w:szCs w:val="24"/>
              </w:rPr>
              <w:t xml:space="preserve">), є некоректним і недоцільним, адже діяльність КУА принципово відрізняється від діяльності банків та інвестиційних </w:t>
            </w:r>
            <w:r w:rsidRPr="00EB1DD8">
              <w:rPr>
                <w:rFonts w:ascii="Times New Roman" w:hAnsi="Times New Roman" w:cs="Times New Roman"/>
                <w:b/>
                <w:color w:val="000000"/>
                <w:sz w:val="24"/>
                <w:szCs w:val="24"/>
              </w:rPr>
              <w:lastRenderedPageBreak/>
              <w:t>фірм, зокрема, тим, що перші мають окремий баланс від фондів в управлінні та не відповідають за фінансовими зобов’язаннями цих фондів.</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hAnsi="Times New Roman" w:cs="Times New Roman"/>
                <w:b/>
                <w:color w:val="000000"/>
                <w:sz w:val="24"/>
                <w:szCs w:val="24"/>
              </w:rPr>
              <w:t xml:space="preserve">Крім того, воно загрожує нормальному функціонуванню ринку, особливо в нинішніх кризових умовах. </w:t>
            </w:r>
            <w:r w:rsidRPr="00EB1DD8">
              <w:rPr>
                <w:rFonts w:ascii="Times New Roman" w:hAnsi="Times New Roman" w:cs="Times New Roman"/>
                <w:b/>
                <w:sz w:val="24"/>
                <w:szCs w:val="24"/>
              </w:rPr>
              <w:t xml:space="preserve">Розрахунок і контроль показників тих чи інших видів ризику має визначатися специфікою бізнесу і складом активів конкретного профучасника, його стратегією та політиками управління ризиками, </w:t>
            </w:r>
            <w:r w:rsidRPr="00EB1DD8">
              <w:rPr>
                <w:rFonts w:ascii="Times New Roman" w:hAnsi="Times New Roman" w:cs="Times New Roman"/>
                <w:b/>
                <w:color w:val="000000"/>
                <w:sz w:val="24"/>
                <w:szCs w:val="24"/>
              </w:rPr>
              <w:t>виходячи з того, які ризики є суттєвими для нього. Про це йде мова у тому числі і в законодавстві ЄС.</w:t>
            </w:r>
          </w:p>
        </w:tc>
        <w:tc>
          <w:tcPr>
            <w:tcW w:w="5405" w:type="dxa"/>
          </w:tcPr>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lastRenderedPageBreak/>
              <w:t>X. Пруденційні нормативи, що використовуються для вимірювання та оцінки ризиків діяльності з адміністрування недержавних пенсійних фондів, їх розрахунок та нормативні значення</w:t>
            </w:r>
          </w:p>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 xml:space="preserve">1. Показники, що використовуються для вимірювання та оцінки ризиків </w:t>
            </w:r>
            <w:r w:rsidRPr="00EB1DD8">
              <w:rPr>
                <w:rFonts w:ascii="Times New Roman" w:eastAsia="Times New Roman" w:hAnsi="Times New Roman" w:cs="Times New Roman"/>
                <w:b/>
                <w:bCs/>
                <w:sz w:val="24"/>
                <w:szCs w:val="24"/>
                <w:lang w:eastAsia="uk-UA"/>
              </w:rPr>
              <w:lastRenderedPageBreak/>
              <w:t>діяльності з адміністрування недержавних пенсійних фондів</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Для вимірювання та оцінки ризиків діяльності з адміністрування недержавних пенсійних фондів використовуються такі показники: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 розмір регулятивного капіталу;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2</w:t>
            </w:r>
            <w:r w:rsidRPr="00EB1DD8">
              <w:rPr>
                <w:rFonts w:ascii="Times New Roman" w:eastAsia="Times New Roman" w:hAnsi="Times New Roman" w:cs="Times New Roman"/>
                <w:sz w:val="24"/>
                <w:szCs w:val="24"/>
                <w:lang w:eastAsia="uk-UA"/>
              </w:rPr>
              <w:t xml:space="preserve">)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3</w:t>
            </w:r>
            <w:r w:rsidRPr="00EB1DD8">
              <w:rPr>
                <w:rFonts w:ascii="Times New Roman" w:eastAsia="Times New Roman" w:hAnsi="Times New Roman" w:cs="Times New Roman"/>
                <w:sz w:val="24"/>
                <w:szCs w:val="24"/>
                <w:lang w:eastAsia="uk-UA"/>
              </w:rPr>
              <w:t>) коефіцієнт покриття операційного ризику;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адміністраторів недержавних пенсійних фондів до закінчення першого повного фінансового року з дати видачі ліцензії в разі, якщо вони вперше отримали ліцензію на провадження діяльності з адміністрування недержавних пенсійних фондів.</w:t>
            </w:r>
          </w:p>
        </w:tc>
      </w:tr>
      <w:tr w:rsidR="002A615E" w:rsidRPr="00EB1DD8" w:rsidTr="0018386F">
        <w:trPr>
          <w:trHeight w:val="554"/>
        </w:trPr>
        <w:tc>
          <w:tcPr>
            <w:tcW w:w="5527" w:type="dxa"/>
          </w:tcPr>
          <w:p w:rsidR="002A615E" w:rsidRPr="00EB1DD8" w:rsidRDefault="002A615E" w:rsidP="002A615E">
            <w:pPr>
              <w:shd w:val="clear" w:color="auto" w:fill="FFFFFF"/>
              <w:spacing w:before="150" w:after="0" w:line="240" w:lineRule="auto"/>
              <w:ind w:left="450" w:right="397"/>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 xml:space="preserve">2. Розмір </w:t>
            </w:r>
            <w:r w:rsidRPr="00EB1DD8">
              <w:rPr>
                <w:rFonts w:ascii="Times New Roman" w:eastAsia="Times New Roman" w:hAnsi="Times New Roman" w:cs="Times New Roman"/>
                <w:b/>
                <w:sz w:val="24"/>
                <w:szCs w:val="24"/>
                <w:lang w:eastAsia="uk-UA"/>
              </w:rPr>
              <w:t>регулятивного капіталу</w:t>
            </w:r>
          </w:p>
          <w:p w:rsidR="002A615E" w:rsidRPr="00EB1DD8" w:rsidRDefault="002A615E" w:rsidP="002A615E">
            <w:pPr>
              <w:shd w:val="clear" w:color="auto" w:fill="FFFFFF"/>
              <w:spacing w:after="0" w:line="240" w:lineRule="auto"/>
              <w:ind w:left="450" w:right="397"/>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noProof w:val="0"/>
                <w:sz w:val="24"/>
                <w:szCs w:val="24"/>
                <w:lang w:eastAsia="uk-UA"/>
              </w:rPr>
            </w:pPr>
            <w:r w:rsidRPr="00EB1DD8">
              <w:rPr>
                <w:rFonts w:ascii="Times New Roman" w:eastAsia="Times New Roman" w:hAnsi="Times New Roman" w:cs="Times New Roman"/>
                <w:b/>
                <w:noProof w:val="0"/>
                <w:sz w:val="24"/>
                <w:szCs w:val="24"/>
                <w:lang w:eastAsia="uk-UA"/>
              </w:rPr>
              <w:t xml:space="preserve">1.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b/>
                <w:noProof w:val="0"/>
                <w:sz w:val="24"/>
                <w:szCs w:val="24"/>
                <w:lang w:eastAsia="uk-UA"/>
              </w:rPr>
              <w:t xml:space="preserve"> є коштами, які </w:t>
            </w:r>
            <w:r w:rsidRPr="00EB1DD8">
              <w:rPr>
                <w:rFonts w:ascii="Times New Roman" w:eastAsia="Times New Roman" w:hAnsi="Times New Roman" w:cs="Times New Roman"/>
                <w:b/>
                <w:sz w:val="24"/>
                <w:szCs w:val="24"/>
                <w:lang w:eastAsia="uk-UA"/>
              </w:rPr>
              <w:t>адміністратор недержавних пенсійних фондів</w:t>
            </w:r>
            <w:r w:rsidRPr="00EB1DD8">
              <w:rPr>
                <w:rFonts w:ascii="Times New Roman" w:eastAsia="Times New Roman" w:hAnsi="Times New Roman" w:cs="Times New Roman"/>
                <w:b/>
                <w:noProof w:val="0"/>
                <w:sz w:val="24"/>
                <w:szCs w:val="24"/>
                <w:lang w:eastAsia="uk-UA"/>
              </w:rPr>
              <w:t xml:space="preserve"> може використовувати на покриття негативних фінансових наслідків реалізації ризиків, що </w:t>
            </w:r>
            <w:r w:rsidRPr="00EB1DD8">
              <w:rPr>
                <w:rFonts w:ascii="Times New Roman" w:eastAsia="Times New Roman" w:hAnsi="Times New Roman" w:cs="Times New Roman"/>
                <w:b/>
                <w:noProof w:val="0"/>
                <w:sz w:val="24"/>
                <w:szCs w:val="24"/>
                <w:lang w:eastAsia="uk-UA"/>
              </w:rPr>
              <w:lastRenderedPageBreak/>
              <w:t xml:space="preserve">виникають при провадженні ним професійної діяльності на </w:t>
            </w:r>
            <w:r w:rsidRPr="00EB1DD8">
              <w:rPr>
                <w:rFonts w:ascii="Times New Roman" w:hAnsi="Times New Roman" w:cs="Times New Roman"/>
                <w:b/>
                <w:sz w:val="24"/>
                <w:szCs w:val="24"/>
              </w:rPr>
              <w:t>ринках капіталу</w:t>
            </w:r>
            <w:r w:rsidRPr="00EB1DD8">
              <w:rPr>
                <w:rFonts w:ascii="Times New Roman" w:eastAsia="Times New Roman" w:hAnsi="Times New Roman" w:cs="Times New Roman"/>
                <w:b/>
                <w:noProof w:val="0"/>
                <w:sz w:val="24"/>
                <w:szCs w:val="24"/>
                <w:lang w:eastAsia="uk-UA"/>
              </w:rPr>
              <w:t>.</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noProof w:val="0"/>
                <w:sz w:val="24"/>
                <w:szCs w:val="24"/>
                <w:lang w:eastAsia="uk-UA"/>
              </w:rPr>
            </w:pPr>
            <w:r w:rsidRPr="00EB1DD8">
              <w:rPr>
                <w:rFonts w:ascii="Times New Roman" w:eastAsia="Times New Roman" w:hAnsi="Times New Roman" w:cs="Times New Roman"/>
                <w:b/>
                <w:noProof w:val="0"/>
                <w:sz w:val="24"/>
                <w:szCs w:val="24"/>
                <w:lang w:eastAsia="uk-UA"/>
              </w:rPr>
              <w:t xml:space="preserve">2.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w:t>
            </w:r>
            <w:r w:rsidRPr="00EB1DD8">
              <w:rPr>
                <w:rFonts w:ascii="Times New Roman" w:eastAsia="Times New Roman" w:hAnsi="Times New Roman" w:cs="Times New Roman"/>
                <w:b/>
                <w:sz w:val="24"/>
                <w:szCs w:val="24"/>
                <w:lang w:val="ru-RU" w:eastAsia="uk-UA"/>
              </w:rPr>
              <w:t>ий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b/>
                <w:noProof w:val="0"/>
                <w:sz w:val="24"/>
                <w:szCs w:val="24"/>
                <w:lang w:eastAsia="uk-UA"/>
              </w:rPr>
              <w:t xml:space="preserve"> розрахову</w:t>
            </w:r>
            <w:r w:rsidRPr="00EB1DD8">
              <w:rPr>
                <w:rFonts w:ascii="Times New Roman" w:eastAsia="Times New Roman" w:hAnsi="Times New Roman" w:cs="Times New Roman"/>
                <w:b/>
                <w:noProof w:val="0"/>
                <w:sz w:val="24"/>
                <w:szCs w:val="24"/>
                <w:lang w:val="ru-RU" w:eastAsia="uk-UA"/>
              </w:rPr>
              <w:t>є</w:t>
            </w:r>
            <w:r w:rsidRPr="00EB1DD8">
              <w:rPr>
                <w:rFonts w:ascii="Times New Roman" w:eastAsia="Times New Roman" w:hAnsi="Times New Roman" w:cs="Times New Roman"/>
                <w:b/>
                <w:noProof w:val="0"/>
                <w:sz w:val="24"/>
                <w:szCs w:val="24"/>
                <w:lang w:eastAsia="uk-UA"/>
              </w:rPr>
              <w:t>ться в порядку, передбаченому главою 2 розділу ІІ цього Положення.</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noProof w:val="0"/>
                <w:sz w:val="24"/>
                <w:szCs w:val="24"/>
                <w:lang w:eastAsia="uk-UA"/>
              </w:rPr>
              <w:t xml:space="preserve">3. Мінімальний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b/>
                <w:noProof w:val="0"/>
                <w:sz w:val="24"/>
                <w:szCs w:val="24"/>
                <w:lang w:eastAsia="uk-UA"/>
              </w:rPr>
              <w:t xml:space="preserve"> </w:t>
            </w:r>
            <w:r w:rsidRPr="00EB1DD8">
              <w:rPr>
                <w:rFonts w:ascii="Times New Roman" w:eastAsia="Times New Roman" w:hAnsi="Times New Roman" w:cs="Times New Roman"/>
                <w:b/>
                <w:sz w:val="24"/>
                <w:szCs w:val="24"/>
                <w:lang w:eastAsia="uk-UA"/>
              </w:rPr>
              <w:t>адміністратора недержавних пенсійних фондів</w:t>
            </w:r>
            <w:r w:rsidRPr="00EB1DD8">
              <w:rPr>
                <w:rFonts w:ascii="Times New Roman" w:eastAsia="Times New Roman" w:hAnsi="Times New Roman" w:cs="Times New Roman"/>
                <w:b/>
                <w:noProof w:val="0"/>
                <w:sz w:val="24"/>
                <w:szCs w:val="24"/>
                <w:lang w:eastAsia="uk-UA"/>
              </w:rPr>
              <w:t xml:space="preserve"> повинен становити не менше мінімального розміру початкового капіталу </w:t>
            </w:r>
            <w:r w:rsidRPr="00EB1DD8">
              <w:rPr>
                <w:rFonts w:ascii="Times New Roman" w:eastAsia="Times New Roman" w:hAnsi="Times New Roman" w:cs="Times New Roman"/>
                <w:b/>
                <w:sz w:val="24"/>
                <w:szCs w:val="24"/>
                <w:lang w:eastAsia="uk-UA"/>
              </w:rPr>
              <w:t>адміністратора недержавних пенсійних фондів</w:t>
            </w:r>
            <w:r w:rsidRPr="00EB1DD8">
              <w:rPr>
                <w:rFonts w:ascii="Times New Roman" w:eastAsia="Times New Roman" w:hAnsi="Times New Roman" w:cs="Times New Roman"/>
                <w:b/>
                <w:noProof w:val="0"/>
                <w:sz w:val="24"/>
                <w:szCs w:val="24"/>
                <w:lang w:eastAsia="uk-UA"/>
              </w:rPr>
              <w:t>, встановленого законодавством.</w:t>
            </w:r>
          </w:p>
        </w:tc>
        <w:tc>
          <w:tcPr>
            <w:tcW w:w="4945" w:type="dxa"/>
          </w:tcPr>
          <w:p w:rsidR="002C1787" w:rsidRPr="00EB1DD8" w:rsidRDefault="002C1787" w:rsidP="002C1787">
            <w:pPr>
              <w:ind w:firstLine="567"/>
              <w:jc w:val="both"/>
              <w:rPr>
                <w:color w:val="000000"/>
              </w:rPr>
            </w:pPr>
          </w:p>
          <w:p w:rsidR="002C1787" w:rsidRPr="00EB1DD8" w:rsidRDefault="002C1787" w:rsidP="002C1787">
            <w:pPr>
              <w:ind w:firstLine="567"/>
              <w:jc w:val="both"/>
              <w:rPr>
                <w:rFonts w:ascii="Times New Roman" w:hAnsi="Times New Roman" w:cs="Times New Roman"/>
                <w:b/>
                <w:color w:val="000000"/>
                <w:sz w:val="24"/>
                <w:szCs w:val="24"/>
                <w:lang w:eastAsia="ru-RU"/>
              </w:rPr>
            </w:pPr>
            <w:r w:rsidRPr="00EB1DD8">
              <w:rPr>
                <w:rFonts w:ascii="Times New Roman" w:hAnsi="Times New Roman" w:cs="Times New Roman"/>
                <w:b/>
                <w:color w:val="000000"/>
                <w:sz w:val="24"/>
                <w:szCs w:val="24"/>
              </w:rPr>
              <w:t>У</w:t>
            </w:r>
            <w:r w:rsidRPr="00EB1DD8">
              <w:rPr>
                <w:rFonts w:ascii="Times New Roman" w:hAnsi="Times New Roman" w:cs="Times New Roman"/>
                <w:b/>
                <w:bCs/>
                <w:color w:val="000000"/>
                <w:sz w:val="24"/>
                <w:szCs w:val="24"/>
              </w:rPr>
              <w:t xml:space="preserve"> </w:t>
            </w:r>
            <w:r w:rsidRPr="00EB1DD8">
              <w:rPr>
                <w:rFonts w:ascii="Times New Roman" w:hAnsi="Times New Roman" w:cs="Times New Roman"/>
                <w:b/>
                <w:color w:val="000000"/>
                <w:sz w:val="24"/>
                <w:szCs w:val="24"/>
              </w:rPr>
              <w:t xml:space="preserve">Директиві 2003/41/ЄС про діяльність установ трудового пенсійного забезпечення та нагляд за ними, яка є в Угоді про асоціацію, немає конкретних </w:t>
            </w:r>
            <w:r w:rsidRPr="00EB1DD8">
              <w:rPr>
                <w:rFonts w:ascii="Times New Roman" w:hAnsi="Times New Roman" w:cs="Times New Roman"/>
                <w:b/>
                <w:bCs/>
                <w:color w:val="000000"/>
                <w:sz w:val="24"/>
                <w:szCs w:val="24"/>
              </w:rPr>
              <w:t>пруденційних</w:t>
            </w:r>
            <w:r w:rsidRPr="00EB1DD8">
              <w:rPr>
                <w:rFonts w:ascii="Times New Roman" w:hAnsi="Times New Roman" w:cs="Times New Roman"/>
                <w:b/>
                <w:color w:val="000000"/>
                <w:sz w:val="24"/>
                <w:szCs w:val="24"/>
              </w:rPr>
              <w:t xml:space="preserve"> вимог до капіталу таких </w:t>
            </w:r>
            <w:r w:rsidRPr="00EB1DD8">
              <w:rPr>
                <w:rFonts w:ascii="Times New Roman" w:hAnsi="Times New Roman" w:cs="Times New Roman"/>
                <w:b/>
                <w:bCs/>
                <w:color w:val="000000"/>
                <w:sz w:val="24"/>
                <w:szCs w:val="24"/>
              </w:rPr>
              <w:t>установ («IORP»), тобто</w:t>
            </w:r>
            <w:r w:rsidRPr="00EB1DD8">
              <w:rPr>
                <w:rFonts w:ascii="Times New Roman" w:hAnsi="Times New Roman" w:cs="Times New Roman"/>
                <w:b/>
                <w:bCs/>
                <w:color w:val="000000"/>
                <w:sz w:val="24"/>
                <w:szCs w:val="24"/>
              </w:rPr>
              <w:t xml:space="preserve"> у т.ч.</w:t>
            </w:r>
            <w:r w:rsidRPr="00EB1DD8">
              <w:rPr>
                <w:rFonts w:ascii="Times New Roman" w:hAnsi="Times New Roman" w:cs="Times New Roman"/>
                <w:b/>
                <w:bCs/>
                <w:color w:val="000000"/>
                <w:sz w:val="24"/>
                <w:szCs w:val="24"/>
              </w:rPr>
              <w:t xml:space="preserve"> </w:t>
            </w:r>
            <w:r w:rsidRPr="00EB1DD8">
              <w:rPr>
                <w:rFonts w:ascii="Times New Roman" w:hAnsi="Times New Roman" w:cs="Times New Roman"/>
                <w:b/>
                <w:bCs/>
                <w:color w:val="000000"/>
                <w:sz w:val="24"/>
                <w:szCs w:val="24"/>
              </w:rPr>
              <w:t>до АНПФ</w:t>
            </w:r>
            <w:r w:rsidRPr="00EB1DD8">
              <w:rPr>
                <w:rFonts w:ascii="Times New Roman" w:hAnsi="Times New Roman" w:cs="Times New Roman"/>
                <w:b/>
                <w:bCs/>
                <w:color w:val="000000"/>
                <w:sz w:val="24"/>
                <w:szCs w:val="24"/>
              </w:rPr>
              <w:t xml:space="preserve">. </w:t>
            </w:r>
            <w:r w:rsidRPr="00EB1DD8">
              <w:rPr>
                <w:rFonts w:ascii="Times New Roman" w:hAnsi="Times New Roman" w:cs="Times New Roman"/>
                <w:b/>
                <w:color w:val="000000"/>
                <w:sz w:val="24"/>
                <w:szCs w:val="24"/>
              </w:rPr>
              <w:lastRenderedPageBreak/>
              <w:t>Причому ця Директива стосується ІІ, а не ІІІ рівня НПЗ, до якого на рівні ЄС – ще менше законодавчих вимог. Тому пропонуємо встановити мінімальний регулятивний капітал для АНПФ на рівні 1,25 млн грн</w:t>
            </w:r>
            <w:r w:rsidRPr="00EB1DD8">
              <w:rPr>
                <w:rFonts w:ascii="Times New Roman" w:hAnsi="Times New Roman" w:cs="Times New Roman"/>
                <w:b/>
                <w:color w:val="000000"/>
                <w:sz w:val="24"/>
                <w:szCs w:val="24"/>
              </w:rPr>
              <w:t xml:space="preserve"> і погоджуємося із запропонованою редакцією норми у пункті 3 цієї глави, за умови, що м</w:t>
            </w:r>
            <w:r w:rsidRPr="00EB1DD8">
              <w:rPr>
                <w:rFonts w:ascii="Times New Roman" w:eastAsia="Times New Roman" w:hAnsi="Times New Roman" w:cs="Times New Roman"/>
                <w:b/>
                <w:noProof w:val="0"/>
                <w:sz w:val="24"/>
                <w:szCs w:val="24"/>
                <w:lang w:eastAsia="uk-UA"/>
              </w:rPr>
              <w:t>інімальний розмір</w:t>
            </w:r>
            <w:r w:rsidRPr="00EB1DD8">
              <w:rPr>
                <w:rFonts w:ascii="Times New Roman" w:eastAsia="Times New Roman" w:hAnsi="Times New Roman" w:cs="Times New Roman"/>
                <w:b/>
                <w:noProof w:val="0"/>
                <w:sz w:val="24"/>
                <w:szCs w:val="24"/>
                <w:lang w:eastAsia="uk-UA"/>
              </w:rPr>
              <w:t xml:space="preserve"> </w:t>
            </w:r>
            <w:r w:rsidRPr="00EB1DD8">
              <w:rPr>
                <w:rFonts w:ascii="Times New Roman" w:eastAsia="Times New Roman" w:hAnsi="Times New Roman" w:cs="Times New Roman"/>
                <w:b/>
                <w:noProof w:val="0"/>
                <w:sz w:val="24"/>
                <w:szCs w:val="24"/>
                <w:lang w:eastAsia="uk-UA"/>
              </w:rPr>
              <w:t>початкового капіталу</w:t>
            </w:r>
            <w:r w:rsidRPr="00EB1DD8">
              <w:rPr>
                <w:rFonts w:ascii="Times New Roman" w:eastAsia="Times New Roman" w:hAnsi="Times New Roman" w:cs="Times New Roman"/>
                <w:b/>
                <w:noProof w:val="0"/>
                <w:sz w:val="24"/>
                <w:szCs w:val="24"/>
                <w:lang w:eastAsia="uk-UA"/>
              </w:rPr>
              <w:t xml:space="preserve"> не перевищуватиме цієї суми.</w:t>
            </w:r>
          </w:p>
          <w:p w:rsidR="002A615E" w:rsidRPr="00EB1DD8" w:rsidRDefault="002A615E" w:rsidP="002C1787">
            <w:pPr>
              <w:shd w:val="clear" w:color="auto" w:fill="FFFFFF"/>
              <w:spacing w:before="150" w:after="0" w:line="240" w:lineRule="auto"/>
              <w:ind w:left="450" w:right="397"/>
              <w:rPr>
                <w:rFonts w:ascii="Times New Roman" w:eastAsia="Times New Roman" w:hAnsi="Times New Roman" w:cs="Times New Roman"/>
                <w:b/>
                <w:bCs/>
                <w:sz w:val="24"/>
                <w:szCs w:val="24"/>
                <w:lang w:eastAsia="uk-UA"/>
              </w:rPr>
            </w:pPr>
          </w:p>
        </w:tc>
        <w:tc>
          <w:tcPr>
            <w:tcW w:w="5405" w:type="dxa"/>
          </w:tcPr>
          <w:p w:rsidR="00AF761D" w:rsidRPr="00EB1DD8" w:rsidRDefault="00AF761D" w:rsidP="00AF761D">
            <w:pPr>
              <w:shd w:val="clear" w:color="auto" w:fill="FFFFFF"/>
              <w:spacing w:before="150" w:after="0" w:line="240" w:lineRule="auto"/>
              <w:ind w:left="450" w:right="397"/>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 xml:space="preserve">2. Розмір </w:t>
            </w:r>
            <w:r w:rsidRPr="00EB1DD8">
              <w:rPr>
                <w:rFonts w:ascii="Times New Roman" w:eastAsia="Times New Roman" w:hAnsi="Times New Roman" w:cs="Times New Roman"/>
                <w:b/>
                <w:sz w:val="24"/>
                <w:szCs w:val="24"/>
                <w:lang w:eastAsia="uk-UA"/>
              </w:rPr>
              <w:t>регулятивного капіталу</w:t>
            </w:r>
          </w:p>
          <w:p w:rsidR="00AF761D" w:rsidRPr="00EB1DD8" w:rsidRDefault="00AF761D" w:rsidP="00AF761D">
            <w:pPr>
              <w:shd w:val="clear" w:color="auto" w:fill="FFFFFF"/>
              <w:spacing w:after="0" w:line="240" w:lineRule="auto"/>
              <w:ind w:left="450" w:right="397"/>
              <w:jc w:val="center"/>
              <w:rPr>
                <w:rFonts w:ascii="Times New Roman" w:eastAsia="Times New Roman" w:hAnsi="Times New Roman" w:cs="Times New Roman"/>
                <w:b/>
                <w:bCs/>
                <w:sz w:val="24"/>
                <w:szCs w:val="24"/>
                <w:lang w:eastAsia="uk-UA"/>
              </w:rPr>
            </w:pPr>
          </w:p>
          <w:p w:rsidR="00AF761D" w:rsidRPr="00EB1DD8" w:rsidRDefault="00AF761D" w:rsidP="00AF761D">
            <w:pPr>
              <w:shd w:val="clear" w:color="auto" w:fill="FFFFFF"/>
              <w:spacing w:after="150" w:line="240" w:lineRule="auto"/>
              <w:ind w:firstLine="450"/>
              <w:jc w:val="both"/>
              <w:rPr>
                <w:rFonts w:ascii="Times New Roman" w:eastAsia="Times New Roman" w:hAnsi="Times New Roman" w:cs="Times New Roman"/>
                <w:b/>
                <w:noProof w:val="0"/>
                <w:sz w:val="24"/>
                <w:szCs w:val="24"/>
                <w:lang w:eastAsia="uk-UA"/>
              </w:rPr>
            </w:pPr>
            <w:r w:rsidRPr="00EB1DD8">
              <w:rPr>
                <w:rFonts w:ascii="Times New Roman" w:eastAsia="Times New Roman" w:hAnsi="Times New Roman" w:cs="Times New Roman"/>
                <w:b/>
                <w:noProof w:val="0"/>
                <w:sz w:val="24"/>
                <w:szCs w:val="24"/>
                <w:lang w:eastAsia="uk-UA"/>
              </w:rPr>
              <w:t xml:space="preserve">1.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b/>
                <w:noProof w:val="0"/>
                <w:sz w:val="24"/>
                <w:szCs w:val="24"/>
                <w:lang w:eastAsia="uk-UA"/>
              </w:rPr>
              <w:t xml:space="preserve"> є коштами, які </w:t>
            </w:r>
            <w:r w:rsidRPr="00EB1DD8">
              <w:rPr>
                <w:rFonts w:ascii="Times New Roman" w:eastAsia="Times New Roman" w:hAnsi="Times New Roman" w:cs="Times New Roman"/>
                <w:b/>
                <w:sz w:val="24"/>
                <w:szCs w:val="24"/>
                <w:lang w:eastAsia="uk-UA"/>
              </w:rPr>
              <w:t>адміністратор недержавних пенсійних фондів</w:t>
            </w:r>
            <w:r w:rsidRPr="00EB1DD8">
              <w:rPr>
                <w:rFonts w:ascii="Times New Roman" w:eastAsia="Times New Roman" w:hAnsi="Times New Roman" w:cs="Times New Roman"/>
                <w:b/>
                <w:noProof w:val="0"/>
                <w:sz w:val="24"/>
                <w:szCs w:val="24"/>
                <w:lang w:eastAsia="uk-UA"/>
              </w:rPr>
              <w:t xml:space="preserve"> може використовувати на покриття негативних фінансових наслідків реалізації </w:t>
            </w:r>
            <w:r w:rsidRPr="00EB1DD8">
              <w:rPr>
                <w:rFonts w:ascii="Times New Roman" w:eastAsia="Times New Roman" w:hAnsi="Times New Roman" w:cs="Times New Roman"/>
                <w:b/>
                <w:noProof w:val="0"/>
                <w:sz w:val="24"/>
                <w:szCs w:val="24"/>
                <w:lang w:eastAsia="uk-UA"/>
              </w:rPr>
              <w:lastRenderedPageBreak/>
              <w:t xml:space="preserve">ризиків, що виникають при провадженні ним професійної діяльності на </w:t>
            </w:r>
            <w:r w:rsidRPr="00EB1DD8">
              <w:rPr>
                <w:rFonts w:ascii="Times New Roman" w:hAnsi="Times New Roman" w:cs="Times New Roman"/>
                <w:b/>
                <w:sz w:val="24"/>
                <w:szCs w:val="24"/>
              </w:rPr>
              <w:t>ринках капіталу</w:t>
            </w:r>
            <w:r w:rsidRPr="00EB1DD8">
              <w:rPr>
                <w:rFonts w:ascii="Times New Roman" w:eastAsia="Times New Roman" w:hAnsi="Times New Roman" w:cs="Times New Roman"/>
                <w:b/>
                <w:noProof w:val="0"/>
                <w:sz w:val="24"/>
                <w:szCs w:val="24"/>
                <w:lang w:eastAsia="uk-UA"/>
              </w:rPr>
              <w:t>.</w:t>
            </w:r>
          </w:p>
          <w:p w:rsidR="00AF761D" w:rsidRPr="00EB1DD8" w:rsidRDefault="00AF761D" w:rsidP="00AF761D">
            <w:pPr>
              <w:shd w:val="clear" w:color="auto" w:fill="FFFFFF"/>
              <w:spacing w:after="150" w:line="240" w:lineRule="auto"/>
              <w:ind w:firstLine="450"/>
              <w:jc w:val="both"/>
              <w:rPr>
                <w:rFonts w:ascii="Times New Roman" w:eastAsia="Times New Roman" w:hAnsi="Times New Roman" w:cs="Times New Roman"/>
                <w:b/>
                <w:noProof w:val="0"/>
                <w:sz w:val="24"/>
                <w:szCs w:val="24"/>
                <w:lang w:eastAsia="uk-UA"/>
              </w:rPr>
            </w:pPr>
            <w:r w:rsidRPr="00EB1DD8">
              <w:rPr>
                <w:rFonts w:ascii="Times New Roman" w:eastAsia="Times New Roman" w:hAnsi="Times New Roman" w:cs="Times New Roman"/>
                <w:b/>
                <w:noProof w:val="0"/>
                <w:sz w:val="24"/>
                <w:szCs w:val="24"/>
                <w:lang w:eastAsia="uk-UA"/>
              </w:rPr>
              <w:t xml:space="preserve">2. </w:t>
            </w:r>
            <w:r w:rsidRPr="00EB1DD8">
              <w:rPr>
                <w:rFonts w:ascii="Times New Roman" w:eastAsia="Times New Roman" w:hAnsi="Times New Roman" w:cs="Times New Roman"/>
                <w:b/>
                <w:sz w:val="24"/>
                <w:szCs w:val="24"/>
                <w:lang w:val="ru-RU" w:eastAsia="uk-UA"/>
              </w:rPr>
              <w:t>Р</w:t>
            </w:r>
            <w:r w:rsidRPr="00EB1DD8">
              <w:rPr>
                <w:rFonts w:ascii="Times New Roman" w:eastAsia="Times New Roman" w:hAnsi="Times New Roman" w:cs="Times New Roman"/>
                <w:b/>
                <w:sz w:val="24"/>
                <w:szCs w:val="24"/>
                <w:lang w:eastAsia="uk-UA"/>
              </w:rPr>
              <w:t>егулятивн</w:t>
            </w:r>
            <w:r w:rsidRPr="00EB1DD8">
              <w:rPr>
                <w:rFonts w:ascii="Times New Roman" w:eastAsia="Times New Roman" w:hAnsi="Times New Roman" w:cs="Times New Roman"/>
                <w:b/>
                <w:sz w:val="24"/>
                <w:szCs w:val="24"/>
                <w:lang w:val="ru-RU" w:eastAsia="uk-UA"/>
              </w:rPr>
              <w:t>ий</w:t>
            </w:r>
            <w:r w:rsidRPr="00EB1DD8">
              <w:rPr>
                <w:rFonts w:ascii="Times New Roman" w:eastAsia="Times New Roman" w:hAnsi="Times New Roman" w:cs="Times New Roman"/>
                <w:b/>
                <w:sz w:val="24"/>
                <w:szCs w:val="24"/>
                <w:lang w:eastAsia="uk-UA"/>
              </w:rPr>
              <w:t xml:space="preserve"> капітал</w:t>
            </w:r>
            <w:r w:rsidRPr="00EB1DD8">
              <w:rPr>
                <w:rFonts w:ascii="Times New Roman" w:eastAsia="Times New Roman" w:hAnsi="Times New Roman" w:cs="Times New Roman"/>
                <w:b/>
                <w:noProof w:val="0"/>
                <w:sz w:val="24"/>
                <w:szCs w:val="24"/>
                <w:lang w:eastAsia="uk-UA"/>
              </w:rPr>
              <w:t xml:space="preserve"> розрахову</w:t>
            </w:r>
            <w:r w:rsidRPr="00EB1DD8">
              <w:rPr>
                <w:rFonts w:ascii="Times New Roman" w:eastAsia="Times New Roman" w:hAnsi="Times New Roman" w:cs="Times New Roman"/>
                <w:b/>
                <w:noProof w:val="0"/>
                <w:sz w:val="24"/>
                <w:szCs w:val="24"/>
                <w:lang w:val="ru-RU" w:eastAsia="uk-UA"/>
              </w:rPr>
              <w:t>є</w:t>
            </w:r>
            <w:r w:rsidRPr="00EB1DD8">
              <w:rPr>
                <w:rFonts w:ascii="Times New Roman" w:eastAsia="Times New Roman" w:hAnsi="Times New Roman" w:cs="Times New Roman"/>
                <w:b/>
                <w:noProof w:val="0"/>
                <w:sz w:val="24"/>
                <w:szCs w:val="24"/>
                <w:lang w:eastAsia="uk-UA"/>
              </w:rPr>
              <w:t>ться в порядку, передбаченому главою 2 розділу ІІ цього Положення.</w:t>
            </w:r>
          </w:p>
          <w:p w:rsidR="00A9143B" w:rsidRPr="00EB1DD8" w:rsidRDefault="00AF761D" w:rsidP="00AF761D">
            <w:pPr>
              <w:ind w:firstLine="540"/>
              <w:jc w:val="both"/>
              <w:rPr>
                <w:bCs/>
                <w:color w:val="FF0000"/>
                <w:lang w:eastAsia="uk-UA"/>
              </w:rPr>
            </w:pPr>
            <w:r w:rsidRPr="00EB1DD8">
              <w:rPr>
                <w:rFonts w:ascii="Times New Roman" w:eastAsia="Times New Roman" w:hAnsi="Times New Roman" w:cs="Times New Roman"/>
                <w:b/>
                <w:noProof w:val="0"/>
                <w:sz w:val="24"/>
                <w:szCs w:val="24"/>
                <w:lang w:eastAsia="uk-UA"/>
              </w:rPr>
              <w:t xml:space="preserve">3. Мінімальний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b/>
                <w:noProof w:val="0"/>
                <w:sz w:val="24"/>
                <w:szCs w:val="24"/>
                <w:lang w:eastAsia="uk-UA"/>
              </w:rPr>
              <w:t xml:space="preserve"> </w:t>
            </w:r>
            <w:r w:rsidRPr="00EB1DD8">
              <w:rPr>
                <w:rFonts w:ascii="Times New Roman" w:eastAsia="Times New Roman" w:hAnsi="Times New Roman" w:cs="Times New Roman"/>
                <w:b/>
                <w:sz w:val="24"/>
                <w:szCs w:val="24"/>
                <w:lang w:eastAsia="uk-UA"/>
              </w:rPr>
              <w:t>адміністратора недержавних пенсійних фондів</w:t>
            </w:r>
            <w:r w:rsidRPr="00EB1DD8">
              <w:rPr>
                <w:rFonts w:ascii="Times New Roman" w:eastAsia="Times New Roman" w:hAnsi="Times New Roman" w:cs="Times New Roman"/>
                <w:b/>
                <w:noProof w:val="0"/>
                <w:sz w:val="24"/>
                <w:szCs w:val="24"/>
                <w:lang w:eastAsia="uk-UA"/>
              </w:rPr>
              <w:t xml:space="preserve"> повинен становити не менше мінімального розміру початкового капіталу </w:t>
            </w:r>
            <w:r w:rsidRPr="00EB1DD8">
              <w:rPr>
                <w:rFonts w:ascii="Times New Roman" w:eastAsia="Times New Roman" w:hAnsi="Times New Roman" w:cs="Times New Roman"/>
                <w:b/>
                <w:sz w:val="24"/>
                <w:szCs w:val="24"/>
                <w:lang w:eastAsia="uk-UA"/>
              </w:rPr>
              <w:t>адміністратора недержавних пенсійних фондів</w:t>
            </w:r>
            <w:r w:rsidRPr="00EB1DD8">
              <w:rPr>
                <w:rFonts w:ascii="Times New Roman" w:eastAsia="Times New Roman" w:hAnsi="Times New Roman" w:cs="Times New Roman"/>
                <w:b/>
                <w:noProof w:val="0"/>
                <w:sz w:val="24"/>
                <w:szCs w:val="24"/>
                <w:lang w:eastAsia="uk-UA"/>
              </w:rPr>
              <w:t>, встановленого законодавством.</w:t>
            </w:r>
          </w:p>
          <w:p w:rsidR="002A615E" w:rsidRPr="00EB1DD8" w:rsidRDefault="002A615E" w:rsidP="002C1787">
            <w:pPr>
              <w:ind w:firstLine="540"/>
              <w:jc w:val="both"/>
              <w:rPr>
                <w:rFonts w:ascii="Times New Roman" w:eastAsia="Times New Roman" w:hAnsi="Times New Roman" w:cs="Times New Roman"/>
                <w:b/>
                <w:bCs/>
                <w:sz w:val="24"/>
                <w:szCs w:val="24"/>
                <w:lang w:eastAsia="uk-UA"/>
              </w:rPr>
            </w:pPr>
          </w:p>
        </w:tc>
      </w:tr>
      <w:tr w:rsidR="00CC2C3A" w:rsidRPr="00EB1DD8" w:rsidTr="0018386F">
        <w:trPr>
          <w:trHeight w:val="554"/>
        </w:trPr>
        <w:tc>
          <w:tcPr>
            <w:tcW w:w="5527"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 xml:space="preserve">3. Норматив достатності </w:t>
            </w:r>
            <w:r w:rsidRPr="00EB1DD8">
              <w:rPr>
                <w:rFonts w:ascii="Times New Roman" w:eastAsia="Times New Roman" w:hAnsi="Times New Roman" w:cs="Times New Roman"/>
                <w:b/>
                <w:sz w:val="24"/>
                <w:szCs w:val="24"/>
                <w:lang w:eastAsia="uk-UA"/>
              </w:rPr>
              <w:t>регулятивного капіталу</w:t>
            </w:r>
          </w:p>
          <w:p w:rsidR="00CC2C3A" w:rsidRPr="00EB1DD8" w:rsidRDefault="00CC2C3A" w:rsidP="00CC2C3A">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є показником, що відображає здатність адміністратора недержавних пенсійних фондів утримувати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sz w:val="24"/>
                <w:szCs w:val="24"/>
                <w:lang w:eastAsia="uk-UA"/>
              </w:rPr>
              <w:t xml:space="preserve"> в розмірі, достатньому для покриття його фіксованих накладних витрат протягом 3 місяців, навіть за умови відсутності доходів протягом цього часу.</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розраховується відповідно до </w:t>
            </w:r>
            <w:hyperlink r:id="rId29" w:anchor="n180" w:history="1">
              <w:r w:rsidRPr="00EB1DD8">
                <w:rPr>
                  <w:rFonts w:ascii="Times New Roman" w:eastAsia="Times New Roman" w:hAnsi="Times New Roman" w:cs="Times New Roman"/>
                  <w:sz w:val="24"/>
                  <w:szCs w:val="24"/>
                  <w:lang w:eastAsia="uk-UA"/>
                </w:rPr>
                <w:t>пунктів 2</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4</w:t>
              </w:r>
            </w:hyperlink>
            <w:r w:rsidRPr="00EB1DD8">
              <w:rPr>
                <w:rFonts w:ascii="Times New Roman" w:eastAsia="Times New Roman" w:hAnsi="Times New Roman" w:cs="Times New Roman"/>
                <w:sz w:val="24"/>
                <w:szCs w:val="24"/>
                <w:lang w:eastAsia="uk-UA"/>
              </w:rPr>
              <w:t xml:space="preserve"> глави 3 розділу </w:t>
            </w:r>
            <w:r w:rsidRPr="00EB1DD8">
              <w:rPr>
                <w:rFonts w:ascii="Times New Roman" w:eastAsia="Times New Roman" w:hAnsi="Times New Roman" w:cs="Times New Roman"/>
                <w:b/>
                <w:sz w:val="24"/>
                <w:szCs w:val="24"/>
                <w:lang w:eastAsia="uk-UA"/>
              </w:rPr>
              <w:t>I</w:t>
            </w:r>
            <w:r w:rsidRPr="00EB1DD8">
              <w:rPr>
                <w:rFonts w:ascii="Times New Roman" w:eastAsia="Times New Roman" w:hAnsi="Times New Roman" w:cs="Times New Roman"/>
                <w:b/>
                <w:sz w:val="24"/>
                <w:szCs w:val="24"/>
                <w:lang w:val="ru-RU" w:eastAsia="uk-UA"/>
              </w:rPr>
              <w:t>ІІ</w:t>
            </w:r>
            <w:r w:rsidRPr="00EB1DD8">
              <w:rPr>
                <w:rFonts w:ascii="Times New Roman" w:eastAsia="Times New Roman" w:hAnsi="Times New Roman" w:cs="Times New Roman"/>
                <w:sz w:val="24"/>
                <w:szCs w:val="24"/>
                <w:lang w:eastAsia="uk-UA"/>
              </w:rPr>
              <w:t xml:space="preserve"> цього Положення.</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3. Нормативне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для адміністратора недержавних пенсійних фондів становить не менше 1.</w:t>
            </w:r>
          </w:p>
        </w:tc>
        <w:tc>
          <w:tcPr>
            <w:tcW w:w="4945" w:type="dxa"/>
          </w:tcPr>
          <w:p w:rsidR="00CC2C3A" w:rsidRPr="00EB1DD8" w:rsidRDefault="00CC2C3A" w:rsidP="00CC2C3A">
            <w:pPr>
              <w:shd w:val="clear" w:color="auto" w:fill="FFFFFF"/>
              <w:spacing w:before="150" w:after="0" w:line="240" w:lineRule="auto"/>
              <w:ind w:left="450" w:right="450"/>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Без змін.</w:t>
            </w:r>
          </w:p>
        </w:tc>
        <w:tc>
          <w:tcPr>
            <w:tcW w:w="5405"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 xml:space="preserve">3. Норматив достатності </w:t>
            </w:r>
            <w:r w:rsidRPr="00EB1DD8">
              <w:rPr>
                <w:rFonts w:ascii="Times New Roman" w:eastAsia="Times New Roman" w:hAnsi="Times New Roman" w:cs="Times New Roman"/>
                <w:b/>
                <w:sz w:val="24"/>
                <w:szCs w:val="24"/>
                <w:lang w:eastAsia="uk-UA"/>
              </w:rPr>
              <w:t>регулятивного капіталу</w:t>
            </w:r>
          </w:p>
          <w:p w:rsidR="00CC2C3A" w:rsidRPr="00EB1DD8" w:rsidRDefault="00CC2C3A" w:rsidP="00CC2C3A">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є показником, що відображає здатність адміністратора недержавних пенсійних фондів утримувати </w:t>
            </w:r>
            <w:r w:rsidRPr="00EB1DD8">
              <w:rPr>
                <w:rFonts w:ascii="Times New Roman" w:eastAsia="Times New Roman" w:hAnsi="Times New Roman" w:cs="Times New Roman"/>
                <w:b/>
                <w:sz w:val="24"/>
                <w:szCs w:val="24"/>
                <w:lang w:eastAsia="uk-UA"/>
              </w:rPr>
              <w:t>регулятивний капітал</w:t>
            </w:r>
            <w:r w:rsidRPr="00EB1DD8">
              <w:rPr>
                <w:rFonts w:ascii="Times New Roman" w:eastAsia="Times New Roman" w:hAnsi="Times New Roman" w:cs="Times New Roman"/>
                <w:sz w:val="24"/>
                <w:szCs w:val="24"/>
                <w:lang w:eastAsia="uk-UA"/>
              </w:rPr>
              <w:t xml:space="preserve"> в розмірі, достатньому для покриття його фіксованих накладних витрат протягом 3 місяців, навіть за умови відсутності доходів протягом цього часу.</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розраховується відповідно до </w:t>
            </w:r>
            <w:hyperlink r:id="rId30" w:anchor="n180" w:history="1">
              <w:r w:rsidRPr="00EB1DD8">
                <w:rPr>
                  <w:rFonts w:ascii="Times New Roman" w:eastAsia="Times New Roman" w:hAnsi="Times New Roman" w:cs="Times New Roman"/>
                  <w:sz w:val="24"/>
                  <w:szCs w:val="24"/>
                  <w:lang w:eastAsia="uk-UA"/>
                </w:rPr>
                <w:t>пунктів 2</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4</w:t>
              </w:r>
            </w:hyperlink>
            <w:r w:rsidRPr="00EB1DD8">
              <w:rPr>
                <w:rFonts w:ascii="Times New Roman" w:eastAsia="Times New Roman" w:hAnsi="Times New Roman" w:cs="Times New Roman"/>
                <w:sz w:val="24"/>
                <w:szCs w:val="24"/>
                <w:lang w:eastAsia="uk-UA"/>
              </w:rPr>
              <w:t xml:space="preserve"> глави 3 розділу </w:t>
            </w:r>
            <w:r w:rsidRPr="00EB1DD8">
              <w:rPr>
                <w:rFonts w:ascii="Times New Roman" w:eastAsia="Times New Roman" w:hAnsi="Times New Roman" w:cs="Times New Roman"/>
                <w:b/>
                <w:sz w:val="24"/>
                <w:szCs w:val="24"/>
                <w:lang w:eastAsia="uk-UA"/>
              </w:rPr>
              <w:t>I</w:t>
            </w:r>
            <w:r w:rsidRPr="00EB1DD8">
              <w:rPr>
                <w:rFonts w:ascii="Times New Roman" w:eastAsia="Times New Roman" w:hAnsi="Times New Roman" w:cs="Times New Roman"/>
                <w:b/>
                <w:sz w:val="24"/>
                <w:szCs w:val="24"/>
                <w:lang w:val="ru-RU" w:eastAsia="uk-UA"/>
              </w:rPr>
              <w:t>ІІ</w:t>
            </w:r>
            <w:r w:rsidRPr="00EB1DD8">
              <w:rPr>
                <w:rFonts w:ascii="Times New Roman" w:eastAsia="Times New Roman" w:hAnsi="Times New Roman" w:cs="Times New Roman"/>
                <w:sz w:val="24"/>
                <w:szCs w:val="24"/>
                <w:lang w:eastAsia="uk-UA"/>
              </w:rPr>
              <w:t xml:space="preserve"> цього Положення.</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3. Нормативне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для адміністратора недержавних пенсійних фондів становить не менше 1.</w:t>
            </w:r>
          </w:p>
        </w:tc>
      </w:tr>
      <w:tr w:rsidR="00CC2C3A" w:rsidRPr="00EB1DD8" w:rsidTr="0018386F">
        <w:trPr>
          <w:trHeight w:val="554"/>
        </w:trPr>
        <w:tc>
          <w:tcPr>
            <w:tcW w:w="5527"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4. Коефіцієнт покриття операційного ризику</w:t>
            </w:r>
          </w:p>
          <w:p w:rsidR="00CC2C3A" w:rsidRPr="00EB1DD8" w:rsidRDefault="00CC2C3A" w:rsidP="00CC2C3A">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Коефіцієнт покриття операційного ризику відображає здатність адміністратора недержавних пенсійних фондів забезпечувати покриття своїх операційних ризиків </w:t>
            </w:r>
            <w:r w:rsidRPr="00EB1DD8">
              <w:rPr>
                <w:rFonts w:ascii="Times New Roman" w:eastAsia="Times New Roman" w:hAnsi="Times New Roman" w:cs="Times New Roman"/>
                <w:b/>
                <w:sz w:val="24"/>
                <w:szCs w:val="24"/>
                <w:lang w:eastAsia="uk-UA"/>
              </w:rPr>
              <w:t>регулятивним капіталом</w:t>
            </w:r>
            <w:r w:rsidRPr="00EB1DD8">
              <w:rPr>
                <w:rFonts w:ascii="Times New Roman" w:eastAsia="Times New Roman" w:hAnsi="Times New Roman" w:cs="Times New Roman"/>
                <w:sz w:val="24"/>
                <w:szCs w:val="24"/>
                <w:lang w:eastAsia="uk-UA"/>
              </w:rPr>
              <w:t xml:space="preserve"> на рівні 15 % від його середньорічного позитивного нетто-доходу за 3 попередні фінансові роки.</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Коефіцієнт покриття операційного ризику розраховується відповідно до </w:t>
            </w:r>
            <w:hyperlink r:id="rId31" w:anchor="n188" w:history="1">
              <w:r w:rsidRPr="00EB1DD8">
                <w:rPr>
                  <w:rFonts w:ascii="Times New Roman" w:eastAsia="Times New Roman" w:hAnsi="Times New Roman" w:cs="Times New Roman"/>
                  <w:sz w:val="24"/>
                  <w:szCs w:val="24"/>
                  <w:lang w:eastAsia="uk-UA"/>
                </w:rPr>
                <w:t>пунктів 2 - 6</w:t>
              </w:r>
            </w:hyperlink>
            <w:r w:rsidRPr="00EB1DD8">
              <w:rPr>
                <w:rFonts w:ascii="Times New Roman" w:eastAsia="Times New Roman" w:hAnsi="Times New Roman" w:cs="Times New Roman"/>
                <w:sz w:val="24"/>
                <w:szCs w:val="24"/>
                <w:lang w:eastAsia="uk-UA"/>
              </w:rPr>
              <w:t xml:space="preserve"> глави 4 розділу </w:t>
            </w:r>
            <w:r w:rsidRPr="00EB1DD8">
              <w:rPr>
                <w:rFonts w:ascii="Times New Roman" w:eastAsia="Times New Roman" w:hAnsi="Times New Roman" w:cs="Times New Roman"/>
                <w:b/>
                <w:sz w:val="24"/>
                <w:szCs w:val="24"/>
                <w:lang w:eastAsia="uk-UA"/>
              </w:rPr>
              <w:t>IІІ</w:t>
            </w:r>
            <w:r w:rsidRPr="00EB1DD8">
              <w:rPr>
                <w:rFonts w:ascii="Times New Roman" w:eastAsia="Times New Roman" w:hAnsi="Times New Roman" w:cs="Times New Roman"/>
                <w:sz w:val="24"/>
                <w:szCs w:val="24"/>
                <w:lang w:eastAsia="uk-UA"/>
              </w:rPr>
              <w:t xml:space="preserve"> цього Положення.</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3. Нормативне значення коефіцієнта покриття операційного ризику для адміністратора недержавних пенсійних фондів становить не менше 1.</w:t>
            </w:r>
          </w:p>
        </w:tc>
        <w:tc>
          <w:tcPr>
            <w:tcW w:w="4945" w:type="dxa"/>
          </w:tcPr>
          <w:p w:rsidR="00CC2C3A" w:rsidRPr="00EB1DD8" w:rsidRDefault="00CC2C3A" w:rsidP="00CC2C3A">
            <w:pPr>
              <w:shd w:val="clear" w:color="auto" w:fill="FFFFFF"/>
              <w:spacing w:before="150" w:after="0" w:line="240" w:lineRule="auto"/>
              <w:ind w:left="450" w:right="450"/>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Без змін.</w:t>
            </w:r>
          </w:p>
        </w:tc>
        <w:tc>
          <w:tcPr>
            <w:tcW w:w="5405"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4. Коефіцієнт покриття операційного ризику</w:t>
            </w:r>
          </w:p>
          <w:p w:rsidR="00CC2C3A" w:rsidRPr="00EB1DD8" w:rsidRDefault="00CC2C3A" w:rsidP="00CC2C3A">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Коефіцієнт покриття операційного ризику відображає здатність адміністратора недержавних пенсійних фондів забезпечувати покриття своїх операційних ризиків </w:t>
            </w:r>
            <w:r w:rsidRPr="00EB1DD8">
              <w:rPr>
                <w:rFonts w:ascii="Times New Roman" w:eastAsia="Times New Roman" w:hAnsi="Times New Roman" w:cs="Times New Roman"/>
                <w:b/>
                <w:sz w:val="24"/>
                <w:szCs w:val="24"/>
                <w:lang w:eastAsia="uk-UA"/>
              </w:rPr>
              <w:t>регулятивним капіталом</w:t>
            </w:r>
            <w:r w:rsidRPr="00EB1DD8">
              <w:rPr>
                <w:rFonts w:ascii="Times New Roman" w:eastAsia="Times New Roman" w:hAnsi="Times New Roman" w:cs="Times New Roman"/>
                <w:sz w:val="24"/>
                <w:szCs w:val="24"/>
                <w:lang w:eastAsia="uk-UA"/>
              </w:rPr>
              <w:t xml:space="preserve"> на рівні 15 % від його середньорічного позитивного нетто-доходу за 3 попередні фінансові роки.</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2. Коефіцієнт покриття операційного ризику розраховується відповідно до </w:t>
            </w:r>
            <w:hyperlink r:id="rId32" w:anchor="n188" w:history="1">
              <w:r w:rsidRPr="00EB1DD8">
                <w:rPr>
                  <w:rFonts w:ascii="Times New Roman" w:eastAsia="Times New Roman" w:hAnsi="Times New Roman" w:cs="Times New Roman"/>
                  <w:sz w:val="24"/>
                  <w:szCs w:val="24"/>
                  <w:lang w:eastAsia="uk-UA"/>
                </w:rPr>
                <w:t>пунктів 2 - 6</w:t>
              </w:r>
            </w:hyperlink>
            <w:r w:rsidRPr="00EB1DD8">
              <w:rPr>
                <w:rFonts w:ascii="Times New Roman" w:eastAsia="Times New Roman" w:hAnsi="Times New Roman" w:cs="Times New Roman"/>
                <w:sz w:val="24"/>
                <w:szCs w:val="24"/>
                <w:lang w:eastAsia="uk-UA"/>
              </w:rPr>
              <w:t xml:space="preserve"> глави 4 розділу </w:t>
            </w:r>
            <w:r w:rsidRPr="00EB1DD8">
              <w:rPr>
                <w:rFonts w:ascii="Times New Roman" w:eastAsia="Times New Roman" w:hAnsi="Times New Roman" w:cs="Times New Roman"/>
                <w:b/>
                <w:sz w:val="24"/>
                <w:szCs w:val="24"/>
                <w:lang w:eastAsia="uk-UA"/>
              </w:rPr>
              <w:t>IІІ</w:t>
            </w:r>
            <w:r w:rsidRPr="00EB1DD8">
              <w:rPr>
                <w:rFonts w:ascii="Times New Roman" w:eastAsia="Times New Roman" w:hAnsi="Times New Roman" w:cs="Times New Roman"/>
                <w:sz w:val="24"/>
                <w:szCs w:val="24"/>
                <w:lang w:eastAsia="uk-UA"/>
              </w:rPr>
              <w:t xml:space="preserve"> цього Положення.</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Нормативне значення коефіцієнта покриття операційного ризику для адміністратора недержавних пенсійних фондів становить не менше 1.</w:t>
            </w:r>
          </w:p>
        </w:tc>
      </w:tr>
      <w:tr w:rsidR="00CC2C3A" w:rsidRPr="00A5622F" w:rsidTr="0018386F">
        <w:trPr>
          <w:trHeight w:val="554"/>
        </w:trPr>
        <w:tc>
          <w:tcPr>
            <w:tcW w:w="5527"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5. Норматив концентрації кредитного ризику</w:t>
            </w:r>
          </w:p>
          <w:p w:rsidR="00CC2C3A" w:rsidRPr="00EB1DD8" w:rsidRDefault="00CC2C3A" w:rsidP="00CC2C3A">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1. Норматив концентрації кредитного ризику встановлює обмеження кредитного ризику адміністратора недержавних пенсійних фондів, що може виникнути внаслідок невиконання своїх зобов’язань окремим його контрагентом.</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2. Норматив концентрації кредитного ризику розраховується в порядку, передбаченому </w:t>
            </w:r>
            <w:hyperlink r:id="rId33" w:anchor="n72" w:history="1">
              <w:r w:rsidRPr="00EB1DD8">
                <w:rPr>
                  <w:rFonts w:ascii="Times New Roman" w:eastAsia="Times New Roman" w:hAnsi="Times New Roman" w:cs="Times New Roman"/>
                  <w:b/>
                  <w:sz w:val="24"/>
                  <w:szCs w:val="24"/>
                  <w:lang w:eastAsia="uk-UA"/>
                </w:rPr>
                <w:t>главою 7</w:t>
              </w:r>
            </w:hyperlink>
            <w:r w:rsidRPr="00EB1DD8">
              <w:rPr>
                <w:rFonts w:ascii="Times New Roman" w:eastAsia="Times New Roman" w:hAnsi="Times New Roman" w:cs="Times New Roman"/>
                <w:b/>
                <w:sz w:val="24"/>
                <w:szCs w:val="24"/>
                <w:lang w:eastAsia="uk-UA"/>
              </w:rPr>
              <w:t xml:space="preserve"> розділу ІІ цього Положення.</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 xml:space="preserve">3. Нормативне значення нормативу концентрації кредитного ризику щодо окремого </w:t>
            </w:r>
            <w:r w:rsidRPr="00EB1DD8">
              <w:rPr>
                <w:rFonts w:ascii="Times New Roman" w:eastAsia="Times New Roman" w:hAnsi="Times New Roman" w:cs="Times New Roman"/>
                <w:b/>
                <w:sz w:val="24"/>
                <w:szCs w:val="24"/>
                <w:lang w:eastAsia="uk-UA"/>
              </w:rPr>
              <w:lastRenderedPageBreak/>
              <w:t>контрагента, крім банків та інвестиційних фірм, становить не більше 25%. При цьому значення нормативу концентрації кредитного ризику щодо окремого контрагента не має бути від’ємним.</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t>4. Нормативне значення нормативу концентрації кредитного ризику щодо окремого контрагента, що є банком або інвестиційною фірмою, становить не більше 100%. При цьому значення нормативу концентрації кредитного ризику щодо окремого контрагента не має бути від’ємним.</w:t>
            </w:r>
          </w:p>
        </w:tc>
        <w:tc>
          <w:tcPr>
            <w:tcW w:w="4945" w:type="dxa"/>
          </w:tcPr>
          <w:p w:rsidR="00CC2C3A" w:rsidRPr="00EB1DD8" w:rsidRDefault="00CC2C3A" w:rsidP="00CC2C3A">
            <w:pPr>
              <w:shd w:val="clear" w:color="auto" w:fill="FFFFFF"/>
              <w:spacing w:before="150" w:after="0" w:line="240" w:lineRule="auto"/>
              <w:ind w:right="15" w:firstLine="459"/>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lastRenderedPageBreak/>
              <w:t>Цей показник є зайвим для АНПФ. Див. вище зауваження до пп.4 п.1 глави 1 цього розділу.</w:t>
            </w:r>
          </w:p>
        </w:tc>
        <w:tc>
          <w:tcPr>
            <w:tcW w:w="5405"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tc>
      </w:tr>
    </w:tbl>
    <w:p w:rsidR="006B6187" w:rsidRPr="00A5622F" w:rsidRDefault="006B6187"/>
    <w:sectPr w:rsidR="006B6187" w:rsidRPr="00A5622F" w:rsidSect="00B60699">
      <w:footerReference w:type="default" r:id="rId34"/>
      <w:pgSz w:w="16838" w:h="11906" w:orient="landscape"/>
      <w:pgMar w:top="1135" w:right="850" w:bottom="850" w:left="85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95" w:rsidRDefault="000D5F95" w:rsidP="0001730A">
      <w:pPr>
        <w:spacing w:after="0" w:line="240" w:lineRule="auto"/>
      </w:pPr>
      <w:r>
        <w:separator/>
      </w:r>
    </w:p>
  </w:endnote>
  <w:endnote w:type="continuationSeparator" w:id="0">
    <w:p w:rsidR="000D5F95" w:rsidRDefault="000D5F95" w:rsidP="000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200734"/>
      <w:docPartObj>
        <w:docPartGallery w:val="Page Numbers (Bottom of Page)"/>
        <w:docPartUnique/>
      </w:docPartObj>
    </w:sdtPr>
    <w:sdtEndPr/>
    <w:sdtContent>
      <w:p w:rsidR="00816D64" w:rsidRDefault="00816D64">
        <w:pPr>
          <w:pStyle w:val="ac"/>
          <w:jc w:val="center"/>
        </w:pPr>
        <w:r>
          <w:fldChar w:fldCharType="begin"/>
        </w:r>
        <w:r>
          <w:instrText>PAGE   \* MERGEFORMAT</w:instrText>
        </w:r>
        <w:r>
          <w:fldChar w:fldCharType="separate"/>
        </w:r>
        <w:r w:rsidR="00EB1DD8">
          <w:t>2</w:t>
        </w:r>
        <w:r>
          <w:fldChar w:fldCharType="end"/>
        </w:r>
      </w:p>
    </w:sdtContent>
  </w:sdt>
  <w:p w:rsidR="00816D64" w:rsidRDefault="00816D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95" w:rsidRDefault="000D5F95" w:rsidP="0001730A">
      <w:pPr>
        <w:spacing w:after="0" w:line="240" w:lineRule="auto"/>
      </w:pPr>
      <w:r>
        <w:separator/>
      </w:r>
    </w:p>
  </w:footnote>
  <w:footnote w:type="continuationSeparator" w:id="0">
    <w:p w:rsidR="000D5F95" w:rsidRDefault="000D5F95" w:rsidP="00017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97BE8"/>
    <w:multiLevelType w:val="hybridMultilevel"/>
    <w:tmpl w:val="22A6C512"/>
    <w:lvl w:ilvl="0" w:tplc="7A06A144">
      <w:start w:val="1"/>
      <w:numFmt w:val="decimal"/>
      <w:lvlText w:val="%1."/>
      <w:lvlJc w:val="left"/>
      <w:pPr>
        <w:ind w:left="810" w:hanging="360"/>
      </w:pPr>
      <w:rPr>
        <w:rFonts w:eastAsia="Times New Roman" w:hint="default"/>
        <w:color w:val="00000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20"/>
    <w:rsid w:val="0000079D"/>
    <w:rsid w:val="0000729F"/>
    <w:rsid w:val="000148BC"/>
    <w:rsid w:val="00014F86"/>
    <w:rsid w:val="0001730A"/>
    <w:rsid w:val="000220C2"/>
    <w:rsid w:val="00023845"/>
    <w:rsid w:val="00025567"/>
    <w:rsid w:val="000274CD"/>
    <w:rsid w:val="000410D0"/>
    <w:rsid w:val="00055DC9"/>
    <w:rsid w:val="00064277"/>
    <w:rsid w:val="00064494"/>
    <w:rsid w:val="00066396"/>
    <w:rsid w:val="00070CF3"/>
    <w:rsid w:val="00074605"/>
    <w:rsid w:val="00076D33"/>
    <w:rsid w:val="00082498"/>
    <w:rsid w:val="00082DF9"/>
    <w:rsid w:val="00097CE9"/>
    <w:rsid w:val="000A1F5B"/>
    <w:rsid w:val="000A26AF"/>
    <w:rsid w:val="000A3B80"/>
    <w:rsid w:val="000A49E6"/>
    <w:rsid w:val="000A4FFE"/>
    <w:rsid w:val="000C0826"/>
    <w:rsid w:val="000C478D"/>
    <w:rsid w:val="000C577A"/>
    <w:rsid w:val="000C6422"/>
    <w:rsid w:val="000D3BBE"/>
    <w:rsid w:val="000D3FDC"/>
    <w:rsid w:val="000D5F95"/>
    <w:rsid w:val="000E0615"/>
    <w:rsid w:val="000E3BC3"/>
    <w:rsid w:val="000E667C"/>
    <w:rsid w:val="000F01CF"/>
    <w:rsid w:val="000F345E"/>
    <w:rsid w:val="000F7DF2"/>
    <w:rsid w:val="001059AB"/>
    <w:rsid w:val="00114B61"/>
    <w:rsid w:val="00115FB3"/>
    <w:rsid w:val="001210CC"/>
    <w:rsid w:val="00127A09"/>
    <w:rsid w:val="001321C3"/>
    <w:rsid w:val="001323B1"/>
    <w:rsid w:val="001336A1"/>
    <w:rsid w:val="001477A4"/>
    <w:rsid w:val="00150FDE"/>
    <w:rsid w:val="00155D4B"/>
    <w:rsid w:val="00156533"/>
    <w:rsid w:val="001647A3"/>
    <w:rsid w:val="00177F70"/>
    <w:rsid w:val="00181A52"/>
    <w:rsid w:val="001820D9"/>
    <w:rsid w:val="00182544"/>
    <w:rsid w:val="0018386F"/>
    <w:rsid w:val="00190329"/>
    <w:rsid w:val="001A1ED8"/>
    <w:rsid w:val="001A33D5"/>
    <w:rsid w:val="001A530C"/>
    <w:rsid w:val="001A5E38"/>
    <w:rsid w:val="001A7BA1"/>
    <w:rsid w:val="001B10B0"/>
    <w:rsid w:val="001C3301"/>
    <w:rsid w:val="001D36EB"/>
    <w:rsid w:val="001E0A9B"/>
    <w:rsid w:val="001E10A5"/>
    <w:rsid w:val="001E10D1"/>
    <w:rsid w:val="001E61B6"/>
    <w:rsid w:val="001F0AB4"/>
    <w:rsid w:val="001F1BB0"/>
    <w:rsid w:val="001F3FFD"/>
    <w:rsid w:val="001F6719"/>
    <w:rsid w:val="00200A68"/>
    <w:rsid w:val="00210C0C"/>
    <w:rsid w:val="002153EB"/>
    <w:rsid w:val="00221138"/>
    <w:rsid w:val="0022141B"/>
    <w:rsid w:val="00225CF3"/>
    <w:rsid w:val="002278A2"/>
    <w:rsid w:val="00247C3D"/>
    <w:rsid w:val="0025664E"/>
    <w:rsid w:val="002674DC"/>
    <w:rsid w:val="00271FA0"/>
    <w:rsid w:val="00272975"/>
    <w:rsid w:val="002805BA"/>
    <w:rsid w:val="00286DB1"/>
    <w:rsid w:val="002939E8"/>
    <w:rsid w:val="002A10A7"/>
    <w:rsid w:val="002A5F2B"/>
    <w:rsid w:val="002A615E"/>
    <w:rsid w:val="002A7214"/>
    <w:rsid w:val="002B2C00"/>
    <w:rsid w:val="002B4379"/>
    <w:rsid w:val="002C05D1"/>
    <w:rsid w:val="002C1787"/>
    <w:rsid w:val="002C4830"/>
    <w:rsid w:val="002C66CD"/>
    <w:rsid w:val="002C77DA"/>
    <w:rsid w:val="002D4723"/>
    <w:rsid w:val="002D5C1B"/>
    <w:rsid w:val="002D7521"/>
    <w:rsid w:val="002E00C7"/>
    <w:rsid w:val="002F2449"/>
    <w:rsid w:val="00305E53"/>
    <w:rsid w:val="003123B1"/>
    <w:rsid w:val="00312F7F"/>
    <w:rsid w:val="0033058C"/>
    <w:rsid w:val="00331193"/>
    <w:rsid w:val="00332A05"/>
    <w:rsid w:val="00334704"/>
    <w:rsid w:val="003519FC"/>
    <w:rsid w:val="0035222A"/>
    <w:rsid w:val="003525E3"/>
    <w:rsid w:val="00352CB8"/>
    <w:rsid w:val="003551AA"/>
    <w:rsid w:val="00363A3A"/>
    <w:rsid w:val="00363F30"/>
    <w:rsid w:val="00374D91"/>
    <w:rsid w:val="003750DE"/>
    <w:rsid w:val="00381590"/>
    <w:rsid w:val="00385324"/>
    <w:rsid w:val="003A0F75"/>
    <w:rsid w:val="003A122D"/>
    <w:rsid w:val="003A21DB"/>
    <w:rsid w:val="003B07A6"/>
    <w:rsid w:val="003B4C34"/>
    <w:rsid w:val="003B5C4B"/>
    <w:rsid w:val="003C406D"/>
    <w:rsid w:val="003C69FB"/>
    <w:rsid w:val="003D139D"/>
    <w:rsid w:val="003D483D"/>
    <w:rsid w:val="003E6892"/>
    <w:rsid w:val="003F1D3E"/>
    <w:rsid w:val="003F5460"/>
    <w:rsid w:val="003F5DFC"/>
    <w:rsid w:val="00401429"/>
    <w:rsid w:val="00410E66"/>
    <w:rsid w:val="00435350"/>
    <w:rsid w:val="00435895"/>
    <w:rsid w:val="004373A5"/>
    <w:rsid w:val="00460A1D"/>
    <w:rsid w:val="00470439"/>
    <w:rsid w:val="004756ED"/>
    <w:rsid w:val="00482729"/>
    <w:rsid w:val="004878B6"/>
    <w:rsid w:val="00491A64"/>
    <w:rsid w:val="004920E7"/>
    <w:rsid w:val="00492C73"/>
    <w:rsid w:val="004959B2"/>
    <w:rsid w:val="004A6B37"/>
    <w:rsid w:val="004D70A9"/>
    <w:rsid w:val="004E5660"/>
    <w:rsid w:val="004E6E30"/>
    <w:rsid w:val="004F3739"/>
    <w:rsid w:val="004F78D3"/>
    <w:rsid w:val="00530236"/>
    <w:rsid w:val="00532095"/>
    <w:rsid w:val="0053738B"/>
    <w:rsid w:val="00547A23"/>
    <w:rsid w:val="00555B5A"/>
    <w:rsid w:val="00556DC9"/>
    <w:rsid w:val="00570F08"/>
    <w:rsid w:val="0057320E"/>
    <w:rsid w:val="00575C6D"/>
    <w:rsid w:val="005772E1"/>
    <w:rsid w:val="00583A31"/>
    <w:rsid w:val="005874F5"/>
    <w:rsid w:val="005909A5"/>
    <w:rsid w:val="00590EA6"/>
    <w:rsid w:val="005A6EDF"/>
    <w:rsid w:val="005B60C1"/>
    <w:rsid w:val="005B6F3C"/>
    <w:rsid w:val="005C09DD"/>
    <w:rsid w:val="005C65D4"/>
    <w:rsid w:val="005D4282"/>
    <w:rsid w:val="005D4657"/>
    <w:rsid w:val="005D4721"/>
    <w:rsid w:val="005E2D4E"/>
    <w:rsid w:val="005E6F12"/>
    <w:rsid w:val="00605EE9"/>
    <w:rsid w:val="00613C99"/>
    <w:rsid w:val="006352E0"/>
    <w:rsid w:val="0064481F"/>
    <w:rsid w:val="00645A27"/>
    <w:rsid w:val="006504B5"/>
    <w:rsid w:val="00652F66"/>
    <w:rsid w:val="00662172"/>
    <w:rsid w:val="0067129E"/>
    <w:rsid w:val="006737D4"/>
    <w:rsid w:val="00682AA6"/>
    <w:rsid w:val="00687B50"/>
    <w:rsid w:val="00692807"/>
    <w:rsid w:val="00692E4D"/>
    <w:rsid w:val="00693C80"/>
    <w:rsid w:val="006A3A34"/>
    <w:rsid w:val="006B021D"/>
    <w:rsid w:val="006B6187"/>
    <w:rsid w:val="006C0E87"/>
    <w:rsid w:val="006C544D"/>
    <w:rsid w:val="006C6B33"/>
    <w:rsid w:val="006D131A"/>
    <w:rsid w:val="006D4AA2"/>
    <w:rsid w:val="006F5476"/>
    <w:rsid w:val="006F5C20"/>
    <w:rsid w:val="006F5F7F"/>
    <w:rsid w:val="00700161"/>
    <w:rsid w:val="007007B2"/>
    <w:rsid w:val="007178A2"/>
    <w:rsid w:val="007265D2"/>
    <w:rsid w:val="007309EF"/>
    <w:rsid w:val="00737E10"/>
    <w:rsid w:val="00742A5C"/>
    <w:rsid w:val="007452C4"/>
    <w:rsid w:val="00745693"/>
    <w:rsid w:val="007523D8"/>
    <w:rsid w:val="007532A1"/>
    <w:rsid w:val="0075573B"/>
    <w:rsid w:val="00756F32"/>
    <w:rsid w:val="00780CBA"/>
    <w:rsid w:val="0078394E"/>
    <w:rsid w:val="007961A7"/>
    <w:rsid w:val="00797CB5"/>
    <w:rsid w:val="007A553C"/>
    <w:rsid w:val="007B3097"/>
    <w:rsid w:val="007C59E4"/>
    <w:rsid w:val="007D1301"/>
    <w:rsid w:val="007F1B9A"/>
    <w:rsid w:val="00801A8E"/>
    <w:rsid w:val="00801B31"/>
    <w:rsid w:val="00801D8B"/>
    <w:rsid w:val="00804AFF"/>
    <w:rsid w:val="008053A2"/>
    <w:rsid w:val="00806EE3"/>
    <w:rsid w:val="00814B10"/>
    <w:rsid w:val="00815F6F"/>
    <w:rsid w:val="00816D64"/>
    <w:rsid w:val="00825999"/>
    <w:rsid w:val="00827919"/>
    <w:rsid w:val="0083793D"/>
    <w:rsid w:val="00845BF7"/>
    <w:rsid w:val="00845C4B"/>
    <w:rsid w:val="00847D6B"/>
    <w:rsid w:val="008574CA"/>
    <w:rsid w:val="00873B3A"/>
    <w:rsid w:val="00892B3B"/>
    <w:rsid w:val="00893122"/>
    <w:rsid w:val="008A1C27"/>
    <w:rsid w:val="008A3A33"/>
    <w:rsid w:val="008A5B33"/>
    <w:rsid w:val="008C5C61"/>
    <w:rsid w:val="008D0CB0"/>
    <w:rsid w:val="008E4737"/>
    <w:rsid w:val="008E544E"/>
    <w:rsid w:val="008E548C"/>
    <w:rsid w:val="008E58EE"/>
    <w:rsid w:val="008E64FB"/>
    <w:rsid w:val="008F77CB"/>
    <w:rsid w:val="008F7CFC"/>
    <w:rsid w:val="009055B2"/>
    <w:rsid w:val="00915373"/>
    <w:rsid w:val="00921BC7"/>
    <w:rsid w:val="0093373C"/>
    <w:rsid w:val="00935C58"/>
    <w:rsid w:val="00937A05"/>
    <w:rsid w:val="009471E5"/>
    <w:rsid w:val="009555B7"/>
    <w:rsid w:val="009566F0"/>
    <w:rsid w:val="009618A6"/>
    <w:rsid w:val="009635D9"/>
    <w:rsid w:val="00967A12"/>
    <w:rsid w:val="00974A5F"/>
    <w:rsid w:val="0098688E"/>
    <w:rsid w:val="009976A6"/>
    <w:rsid w:val="009B363B"/>
    <w:rsid w:val="009B6911"/>
    <w:rsid w:val="009C0B40"/>
    <w:rsid w:val="009C1C81"/>
    <w:rsid w:val="009F6499"/>
    <w:rsid w:val="00A0490E"/>
    <w:rsid w:val="00A07EDD"/>
    <w:rsid w:val="00A15C76"/>
    <w:rsid w:val="00A16E5E"/>
    <w:rsid w:val="00A173B3"/>
    <w:rsid w:val="00A23FA3"/>
    <w:rsid w:val="00A253ED"/>
    <w:rsid w:val="00A30C95"/>
    <w:rsid w:val="00A36D53"/>
    <w:rsid w:val="00A460E4"/>
    <w:rsid w:val="00A50DBF"/>
    <w:rsid w:val="00A53553"/>
    <w:rsid w:val="00A54980"/>
    <w:rsid w:val="00A5622F"/>
    <w:rsid w:val="00A633E8"/>
    <w:rsid w:val="00A738AC"/>
    <w:rsid w:val="00A81018"/>
    <w:rsid w:val="00A86DDA"/>
    <w:rsid w:val="00A9143B"/>
    <w:rsid w:val="00A9218A"/>
    <w:rsid w:val="00A9508F"/>
    <w:rsid w:val="00AA0314"/>
    <w:rsid w:val="00AA58EA"/>
    <w:rsid w:val="00AC00E5"/>
    <w:rsid w:val="00AC390D"/>
    <w:rsid w:val="00AD0E07"/>
    <w:rsid w:val="00AD2080"/>
    <w:rsid w:val="00AE1825"/>
    <w:rsid w:val="00AF13C8"/>
    <w:rsid w:val="00AF2C9E"/>
    <w:rsid w:val="00AF4CFA"/>
    <w:rsid w:val="00AF5A02"/>
    <w:rsid w:val="00AF761D"/>
    <w:rsid w:val="00B14E61"/>
    <w:rsid w:val="00B20326"/>
    <w:rsid w:val="00B235AF"/>
    <w:rsid w:val="00B3085E"/>
    <w:rsid w:val="00B3524B"/>
    <w:rsid w:val="00B40106"/>
    <w:rsid w:val="00B41EF0"/>
    <w:rsid w:val="00B45538"/>
    <w:rsid w:val="00B5218E"/>
    <w:rsid w:val="00B551B1"/>
    <w:rsid w:val="00B5642B"/>
    <w:rsid w:val="00B60699"/>
    <w:rsid w:val="00B810CC"/>
    <w:rsid w:val="00B847F2"/>
    <w:rsid w:val="00B84EB9"/>
    <w:rsid w:val="00B87873"/>
    <w:rsid w:val="00B91BD0"/>
    <w:rsid w:val="00BA2BD9"/>
    <w:rsid w:val="00BA5AC7"/>
    <w:rsid w:val="00BB39BF"/>
    <w:rsid w:val="00BB65EF"/>
    <w:rsid w:val="00BB7ED8"/>
    <w:rsid w:val="00BE7289"/>
    <w:rsid w:val="00C02A56"/>
    <w:rsid w:val="00C04A1F"/>
    <w:rsid w:val="00C05237"/>
    <w:rsid w:val="00C1479C"/>
    <w:rsid w:val="00C15D20"/>
    <w:rsid w:val="00C24814"/>
    <w:rsid w:val="00C25273"/>
    <w:rsid w:val="00C356D6"/>
    <w:rsid w:val="00C44386"/>
    <w:rsid w:val="00C4652D"/>
    <w:rsid w:val="00C537B5"/>
    <w:rsid w:val="00C668ED"/>
    <w:rsid w:val="00C73518"/>
    <w:rsid w:val="00C837A0"/>
    <w:rsid w:val="00C92011"/>
    <w:rsid w:val="00C97C74"/>
    <w:rsid w:val="00CA4BF5"/>
    <w:rsid w:val="00CA5C48"/>
    <w:rsid w:val="00CA5ED8"/>
    <w:rsid w:val="00CB7877"/>
    <w:rsid w:val="00CC0E20"/>
    <w:rsid w:val="00CC2C3A"/>
    <w:rsid w:val="00CD6799"/>
    <w:rsid w:val="00CE6A6B"/>
    <w:rsid w:val="00CE76DE"/>
    <w:rsid w:val="00CF22CC"/>
    <w:rsid w:val="00D0042E"/>
    <w:rsid w:val="00D01192"/>
    <w:rsid w:val="00D038FE"/>
    <w:rsid w:val="00D039E6"/>
    <w:rsid w:val="00D07070"/>
    <w:rsid w:val="00D0755F"/>
    <w:rsid w:val="00D1782D"/>
    <w:rsid w:val="00D37491"/>
    <w:rsid w:val="00D37C62"/>
    <w:rsid w:val="00D40F03"/>
    <w:rsid w:val="00D41466"/>
    <w:rsid w:val="00D64803"/>
    <w:rsid w:val="00D7517C"/>
    <w:rsid w:val="00D762AA"/>
    <w:rsid w:val="00D802A1"/>
    <w:rsid w:val="00D8058C"/>
    <w:rsid w:val="00D837CF"/>
    <w:rsid w:val="00D83968"/>
    <w:rsid w:val="00D85AF6"/>
    <w:rsid w:val="00DA3F18"/>
    <w:rsid w:val="00DB00F0"/>
    <w:rsid w:val="00DB1A5E"/>
    <w:rsid w:val="00DB21FA"/>
    <w:rsid w:val="00DD5C7B"/>
    <w:rsid w:val="00DD7BDD"/>
    <w:rsid w:val="00DE0856"/>
    <w:rsid w:val="00DE5D75"/>
    <w:rsid w:val="00E066F1"/>
    <w:rsid w:val="00E07F02"/>
    <w:rsid w:val="00E12401"/>
    <w:rsid w:val="00E13253"/>
    <w:rsid w:val="00E37572"/>
    <w:rsid w:val="00E408DA"/>
    <w:rsid w:val="00E46F1B"/>
    <w:rsid w:val="00E51A65"/>
    <w:rsid w:val="00E56AD6"/>
    <w:rsid w:val="00E64944"/>
    <w:rsid w:val="00E73240"/>
    <w:rsid w:val="00E821D7"/>
    <w:rsid w:val="00E91AEC"/>
    <w:rsid w:val="00EA528D"/>
    <w:rsid w:val="00EB0313"/>
    <w:rsid w:val="00EB1DD8"/>
    <w:rsid w:val="00EB34CB"/>
    <w:rsid w:val="00EB41E5"/>
    <w:rsid w:val="00EC142F"/>
    <w:rsid w:val="00EC2762"/>
    <w:rsid w:val="00EE206B"/>
    <w:rsid w:val="00EF2385"/>
    <w:rsid w:val="00F020F1"/>
    <w:rsid w:val="00F078B9"/>
    <w:rsid w:val="00F105DE"/>
    <w:rsid w:val="00F12EAC"/>
    <w:rsid w:val="00F151D7"/>
    <w:rsid w:val="00F22B7B"/>
    <w:rsid w:val="00F33118"/>
    <w:rsid w:val="00F4206A"/>
    <w:rsid w:val="00F45C1F"/>
    <w:rsid w:val="00F46E01"/>
    <w:rsid w:val="00F55330"/>
    <w:rsid w:val="00F55AB1"/>
    <w:rsid w:val="00F61ED5"/>
    <w:rsid w:val="00F65E6D"/>
    <w:rsid w:val="00F66D39"/>
    <w:rsid w:val="00F72D28"/>
    <w:rsid w:val="00F73EAF"/>
    <w:rsid w:val="00F74B0E"/>
    <w:rsid w:val="00F86E79"/>
    <w:rsid w:val="00F902A0"/>
    <w:rsid w:val="00F95320"/>
    <w:rsid w:val="00F96CE4"/>
    <w:rsid w:val="00FA06AD"/>
    <w:rsid w:val="00FC4481"/>
    <w:rsid w:val="00FC50F7"/>
    <w:rsid w:val="00FD1FDC"/>
    <w:rsid w:val="00FD3B1E"/>
    <w:rsid w:val="00FD4274"/>
    <w:rsid w:val="00FE2268"/>
    <w:rsid w:val="00FE4F25"/>
    <w:rsid w:val="00FF1714"/>
    <w:rsid w:val="00FF6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C362F-9965-46B4-A4A9-35510524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C48"/>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F95320"/>
    <w:pPr>
      <w:spacing w:after="0" w:line="240" w:lineRule="auto"/>
    </w:pPr>
    <w:rPr>
      <w:rFonts w:ascii="Times New Roman" w:eastAsia="Times New Roman" w:hAnsi="Times New Roman" w:cs="Times New Roman"/>
      <w:sz w:val="20"/>
      <w:szCs w:val="20"/>
      <w:lang w:eastAsia="uk-UA"/>
    </w:rPr>
  </w:style>
  <w:style w:type="paragraph" w:styleId="a3">
    <w:name w:val="endnote text"/>
    <w:basedOn w:val="a"/>
    <w:link w:val="a4"/>
    <w:uiPriority w:val="99"/>
    <w:unhideWhenUsed/>
    <w:rsid w:val="00F95320"/>
    <w:pPr>
      <w:spacing w:after="0" w:line="240" w:lineRule="auto"/>
    </w:pPr>
    <w:rPr>
      <w:rFonts w:ascii="Calibri" w:eastAsia="Calibri" w:hAnsi="Calibri" w:cs="Times New Roman"/>
      <w:noProof w:val="0"/>
      <w:sz w:val="20"/>
      <w:szCs w:val="20"/>
    </w:rPr>
  </w:style>
  <w:style w:type="character" w:customStyle="1" w:styleId="a4">
    <w:name w:val="Текст концевой сноски Знак"/>
    <w:basedOn w:val="a0"/>
    <w:link w:val="a3"/>
    <w:uiPriority w:val="99"/>
    <w:rsid w:val="00F95320"/>
    <w:rPr>
      <w:rFonts w:ascii="Calibri" w:eastAsia="Calibri" w:hAnsi="Calibri" w:cs="Times New Roman"/>
      <w:sz w:val="20"/>
      <w:szCs w:val="20"/>
    </w:rPr>
  </w:style>
  <w:style w:type="paragraph" w:styleId="a5">
    <w:name w:val="annotation text"/>
    <w:basedOn w:val="a"/>
    <w:link w:val="a6"/>
    <w:rsid w:val="00F95320"/>
    <w:pPr>
      <w:spacing w:after="0" w:line="240" w:lineRule="auto"/>
    </w:pPr>
    <w:rPr>
      <w:rFonts w:ascii="Times New Roman" w:eastAsia="Times New Roman" w:hAnsi="Times New Roman" w:cs="Times New Roman"/>
      <w:noProof w:val="0"/>
      <w:sz w:val="20"/>
      <w:szCs w:val="20"/>
      <w:lang w:eastAsia="ru-RU"/>
    </w:rPr>
  </w:style>
  <w:style w:type="character" w:customStyle="1" w:styleId="a6">
    <w:name w:val="Текст примечания Знак"/>
    <w:basedOn w:val="a0"/>
    <w:link w:val="a5"/>
    <w:rsid w:val="00F95320"/>
    <w:rPr>
      <w:rFonts w:ascii="Times New Roman" w:eastAsia="Times New Roman" w:hAnsi="Times New Roman" w:cs="Times New Roman"/>
      <w:sz w:val="20"/>
      <w:szCs w:val="20"/>
      <w:lang w:eastAsia="ru-RU"/>
    </w:rPr>
  </w:style>
  <w:style w:type="paragraph" w:styleId="a7">
    <w:name w:val="List Paragraph"/>
    <w:basedOn w:val="a"/>
    <w:uiPriority w:val="34"/>
    <w:qFormat/>
    <w:rsid w:val="00470439"/>
    <w:pPr>
      <w:ind w:left="720"/>
      <w:contextualSpacing/>
    </w:pPr>
  </w:style>
  <w:style w:type="paragraph" w:customStyle="1" w:styleId="rvps14">
    <w:name w:val="rvps14"/>
    <w:basedOn w:val="a"/>
    <w:rsid w:val="00687B50"/>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styleId="a8">
    <w:name w:val="Balloon Text"/>
    <w:basedOn w:val="a"/>
    <w:link w:val="a9"/>
    <w:uiPriority w:val="99"/>
    <w:semiHidden/>
    <w:unhideWhenUsed/>
    <w:rsid w:val="002729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2975"/>
    <w:rPr>
      <w:rFonts w:ascii="Segoe UI" w:hAnsi="Segoe UI" w:cs="Segoe UI"/>
      <w:noProof/>
      <w:sz w:val="18"/>
      <w:szCs w:val="18"/>
    </w:rPr>
  </w:style>
  <w:style w:type="paragraph" w:styleId="aa">
    <w:name w:val="header"/>
    <w:basedOn w:val="a"/>
    <w:link w:val="ab"/>
    <w:uiPriority w:val="99"/>
    <w:unhideWhenUsed/>
    <w:rsid w:val="000173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730A"/>
    <w:rPr>
      <w:noProof/>
    </w:rPr>
  </w:style>
  <w:style w:type="paragraph" w:styleId="ac">
    <w:name w:val="footer"/>
    <w:basedOn w:val="a"/>
    <w:link w:val="ad"/>
    <w:uiPriority w:val="99"/>
    <w:unhideWhenUsed/>
    <w:rsid w:val="000173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730A"/>
    <w:rPr>
      <w:noProof/>
    </w:rPr>
  </w:style>
  <w:style w:type="character" w:styleId="ae">
    <w:name w:val="Subtle Reference"/>
    <w:basedOn w:val="a0"/>
    <w:uiPriority w:val="31"/>
    <w:qFormat/>
    <w:rsid w:val="0000079D"/>
    <w:rPr>
      <w:smallCaps/>
      <w:color w:val="5A5A5A" w:themeColor="text1" w:themeTint="A5"/>
    </w:rPr>
  </w:style>
  <w:style w:type="character" w:styleId="af">
    <w:name w:val="Emphasis"/>
    <w:basedOn w:val="a0"/>
    <w:uiPriority w:val="20"/>
    <w:qFormat/>
    <w:rsid w:val="00692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zakon.rada.gov.ua/laws/show/z1311-15" TargetMode="External"/><Relationship Id="rId26" Type="http://schemas.openxmlformats.org/officeDocument/2006/relationships/hyperlink" Target="https://zakon.rada.gov.ua/laws/show/996-14"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z1311-15" TargetMode="External"/><Relationship Id="rId17" Type="http://schemas.openxmlformats.org/officeDocument/2006/relationships/hyperlink" Target="https://zakon.rada.gov.ua/laws/show/z1311-15" TargetMode="External"/><Relationship Id="rId25" Type="http://schemas.openxmlformats.org/officeDocument/2006/relationships/oleObject" Target="embeddings/oleObject6.bin"/><Relationship Id="rId33" Type="http://schemas.openxmlformats.org/officeDocument/2006/relationships/hyperlink" Target="https://zakon.rada.gov.ua/laws/show/z1311-15" TargetMode="External"/><Relationship Id="rId2" Type="http://schemas.openxmlformats.org/officeDocument/2006/relationships/numbering" Target="numbering.xml"/><Relationship Id="rId16" Type="http://schemas.openxmlformats.org/officeDocument/2006/relationships/hyperlink" Target="https://zakon.rada.gov.ua/laws/show/z1311-15" TargetMode="External"/><Relationship Id="rId20" Type="http://schemas.openxmlformats.org/officeDocument/2006/relationships/oleObject" Target="embeddings/oleObject3.bin"/><Relationship Id="rId29" Type="http://schemas.openxmlformats.org/officeDocument/2006/relationships/hyperlink" Target="https://zakon.rada.gov.ua/laws/show/z131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hyperlink" Target="https://zakon.rada.gov.ua/laws/show/z1311-15" TargetMode="External"/><Relationship Id="rId5" Type="http://schemas.openxmlformats.org/officeDocument/2006/relationships/webSettings" Target="webSettings.xml"/><Relationship Id="rId15" Type="http://schemas.openxmlformats.org/officeDocument/2006/relationships/hyperlink" Target="https://zakon.rada.gov.ua/laws/show/z1311-15" TargetMode="External"/><Relationship Id="rId23" Type="http://schemas.openxmlformats.org/officeDocument/2006/relationships/hyperlink" Target="https://zakon.rada.gov.ua/laws/show/z1311-15" TargetMode="External"/><Relationship Id="rId28" Type="http://schemas.openxmlformats.org/officeDocument/2006/relationships/hyperlink" Target="https://zakon.rada.gov.ua/laws/show/z1311-15" TargetMode="External"/><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2.wmf"/><Relationship Id="rId31" Type="http://schemas.openxmlformats.org/officeDocument/2006/relationships/hyperlink" Target="https://zakon.rada.gov.ua/laws/show/z1311-15" TargetMode="External"/><Relationship Id="rId4" Type="http://schemas.openxmlformats.org/officeDocument/2006/relationships/settings" Target="settings.xml"/><Relationship Id="rId9" Type="http://schemas.openxmlformats.org/officeDocument/2006/relationships/hyperlink" Target="https://zakon.rada.gov.ua/laws/show/z1311-15" TargetMode="External"/><Relationship Id="rId14" Type="http://schemas.openxmlformats.org/officeDocument/2006/relationships/hyperlink" Target="https://zakon.rada.gov.ua/laws/show/z1311-15" TargetMode="External"/><Relationship Id="rId22" Type="http://schemas.openxmlformats.org/officeDocument/2006/relationships/oleObject" Target="embeddings/oleObject4.bin"/><Relationship Id="rId27" Type="http://schemas.openxmlformats.org/officeDocument/2006/relationships/hyperlink" Target="https://zakon.rada.gov.ua/laws/show/996-14" TargetMode="External"/><Relationship Id="rId30" Type="http://schemas.openxmlformats.org/officeDocument/2006/relationships/hyperlink" Target="https://zakon.rada.gov.ua/laws/show/z1311-15" TargetMode="External"/><Relationship Id="rId35" Type="http://schemas.openxmlformats.org/officeDocument/2006/relationships/fontTable" Target="fontTable.xml"/><Relationship Id="rId8" Type="http://schemas.openxmlformats.org/officeDocument/2006/relationships/hyperlink" Target="https://zakon.rada.gov.ua/laws/show/z1311-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8066-F3E2-43F4-B011-75924125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27078</Words>
  <Characters>15436</Characters>
  <Application>Microsoft Office Word</Application>
  <DocSecurity>0</DocSecurity>
  <Lines>128</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42430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gavrylyuk</cp:lastModifiedBy>
  <cp:revision>3</cp:revision>
  <cp:lastPrinted>2021-07-16T09:12:00Z</cp:lastPrinted>
  <dcterms:created xsi:type="dcterms:W3CDTF">2021-08-03T11:12:00Z</dcterms:created>
  <dcterms:modified xsi:type="dcterms:W3CDTF">2021-08-03T11:13:00Z</dcterms:modified>
</cp:coreProperties>
</file>