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41403" w:rsidRDefault="00415AF9" w:rsidP="00415AF9">
      <w:pPr>
        <w:jc w:val="right"/>
      </w:pPr>
      <w:r>
        <w:t>Витримки з матеріалів робочого засідання</w:t>
      </w:r>
      <w:r w:rsidR="00F41403">
        <w:t xml:space="preserve"> при Комітеті ВРУ</w:t>
      </w:r>
    </w:p>
    <w:p w:rsidR="00415AF9" w:rsidRDefault="00415AF9" w:rsidP="00F41403">
      <w:pPr>
        <w:jc w:val="right"/>
      </w:pPr>
      <w:r>
        <w:t xml:space="preserve"> з обговорення</w:t>
      </w:r>
      <w:r w:rsidR="00EE1FC5" w:rsidRPr="00EE1FC5">
        <w:rPr>
          <w:lang w:val="ru-RU"/>
        </w:rPr>
        <w:t xml:space="preserve"> </w:t>
      </w:r>
      <w:r>
        <w:t>проекту закону 7465-1</w:t>
      </w:r>
    </w:p>
    <w:p w:rsidR="00415AF9" w:rsidRDefault="00415AF9" w:rsidP="00415AF9">
      <w:pPr>
        <w:jc w:val="right"/>
      </w:pPr>
    </w:p>
    <w:p w:rsidR="00415AF9" w:rsidRPr="008E1356" w:rsidRDefault="00415AF9" w:rsidP="00731ED4">
      <w:pPr>
        <w:jc w:val="center"/>
        <w:rPr>
          <w:sz w:val="24"/>
          <w:szCs w:val="24"/>
          <w:lang w:eastAsia="ru-RU"/>
        </w:rPr>
      </w:pPr>
      <w:r w:rsidRPr="008E1356">
        <w:rPr>
          <w:sz w:val="24"/>
          <w:szCs w:val="24"/>
          <w:lang w:eastAsia="ru-RU"/>
        </w:rPr>
        <w:t xml:space="preserve">Пропозиції до </w:t>
      </w:r>
      <w:r w:rsidR="00731ED4" w:rsidRPr="008E1356">
        <w:rPr>
          <w:sz w:val="24"/>
          <w:szCs w:val="24"/>
          <w:lang w:eastAsia="ru-RU"/>
        </w:rPr>
        <w:t>проекту Закону України "Про внесення змін до деяких законодавчих актів України щодо особливостей діяльності фінансового сектору у зв'язку із введенням воєнного стану в Україні" (реєстр. № 7465-1 від 14.07.2022 р.), прийнятого Верховною Радою України в першому читанні 08.07.2022 р.</w:t>
      </w:r>
    </w:p>
    <w:p w:rsidR="00731ED4" w:rsidRDefault="00731ED4" w:rsidP="00731ED4">
      <w:pPr>
        <w:jc w:val="center"/>
        <w:rPr>
          <w:sz w:val="28"/>
          <w:szCs w:val="28"/>
          <w:lang w:eastAsia="ru-RU"/>
        </w:rPr>
      </w:pPr>
    </w:p>
    <w:p w:rsidR="00F41403" w:rsidRDefault="00F41403" w:rsidP="00F41403">
      <w:pPr>
        <w:jc w:val="both"/>
        <w:rPr>
          <w:bCs/>
          <w:sz w:val="24"/>
          <w:szCs w:val="24"/>
        </w:rPr>
      </w:pPr>
      <w:r w:rsidRPr="004A4D63">
        <w:rPr>
          <w:bCs/>
          <w:sz w:val="24"/>
          <w:szCs w:val="24"/>
          <w:u w:val="single"/>
        </w:rPr>
        <w:t>Очікується</w:t>
      </w:r>
      <w:r w:rsidR="00EE1FC5">
        <w:rPr>
          <w:bCs/>
          <w:sz w:val="24"/>
          <w:szCs w:val="24"/>
        </w:rPr>
        <w:t>, що З</w:t>
      </w:r>
      <w:r w:rsidRPr="008E1356">
        <w:rPr>
          <w:bCs/>
          <w:sz w:val="24"/>
          <w:szCs w:val="24"/>
        </w:rPr>
        <w:t>акон України «Про захист інтересів суб’єктів подання звітності та інших документів у період дії воєнного стану або стану війни»</w:t>
      </w:r>
      <w:r w:rsidR="00860A99">
        <w:rPr>
          <w:bCs/>
          <w:sz w:val="24"/>
          <w:szCs w:val="24"/>
        </w:rPr>
        <w:t xml:space="preserve"> (№2115 від 3 березня 2022 року)</w:t>
      </w:r>
      <w:r w:rsidRPr="004A4D63">
        <w:rPr>
          <w:bCs/>
          <w:sz w:val="24"/>
          <w:szCs w:val="24"/>
          <w:u w:val="single"/>
        </w:rPr>
        <w:t>буде доповнено пунктами такого змісту</w:t>
      </w:r>
      <w:r w:rsidRPr="008E1356">
        <w:rPr>
          <w:bCs/>
          <w:sz w:val="24"/>
          <w:szCs w:val="24"/>
        </w:rPr>
        <w:t>:</w:t>
      </w:r>
    </w:p>
    <w:p w:rsidR="00485DA6" w:rsidRPr="00485DA6" w:rsidRDefault="008E1356" w:rsidP="00485DA6">
      <w:pPr>
        <w:jc w:val="both"/>
        <w:rPr>
          <w:bCs/>
          <w:sz w:val="24"/>
          <w:szCs w:val="24"/>
        </w:rPr>
      </w:pPr>
      <w:r>
        <w:rPr>
          <w:bCs/>
          <w:sz w:val="24"/>
          <w:szCs w:val="24"/>
        </w:rPr>
        <w:t>«</w:t>
      </w:r>
      <w:r w:rsidR="00485DA6" w:rsidRPr="00485DA6">
        <w:rPr>
          <w:bCs/>
          <w:sz w:val="24"/>
          <w:szCs w:val="24"/>
        </w:rPr>
        <w:t xml:space="preserve">Підпункти 1 і 4 цього пункту </w:t>
      </w:r>
      <w:r w:rsidR="00485DA6" w:rsidRPr="00485DA6">
        <w:rPr>
          <w:b/>
          <w:bCs/>
          <w:sz w:val="24"/>
          <w:szCs w:val="24"/>
          <w:u w:val="single"/>
        </w:rPr>
        <w:t>не поширюються на подання</w:t>
      </w:r>
      <w:r w:rsidR="00485DA6" w:rsidRPr="00485DA6">
        <w:rPr>
          <w:bCs/>
          <w:sz w:val="24"/>
          <w:szCs w:val="24"/>
        </w:rPr>
        <w:t xml:space="preserve"> до Національної комісії з цінних паперів та фондового ринку учасниками ринків капіталу та професійними учасниками організованих товарних ринків, державне регулювання та нагляд за діяльністю яких здійснює Національна комісія з цінних паперів та фондового ринку, звітних даних та іншої звітності (</w:t>
      </w:r>
      <w:r w:rsidR="00485DA6" w:rsidRPr="00485DA6">
        <w:rPr>
          <w:b/>
          <w:bCs/>
          <w:sz w:val="24"/>
          <w:szCs w:val="24"/>
        </w:rPr>
        <w:t>іншої, ніж фінансова звітність та аудиторські звіти</w:t>
      </w:r>
      <w:r w:rsidR="00485DA6" w:rsidRPr="00485DA6">
        <w:rPr>
          <w:bCs/>
          <w:sz w:val="24"/>
          <w:szCs w:val="24"/>
        </w:rPr>
        <w:t xml:space="preserve"> за результатами обов’язкового аудиту </w:t>
      </w:r>
      <w:r w:rsidR="00EE1FC5" w:rsidRPr="00EE1FC5">
        <w:rPr>
          <w:bCs/>
          <w:sz w:val="24"/>
          <w:szCs w:val="24"/>
        </w:rPr>
        <w:t xml:space="preserve"> </w:t>
      </w:r>
      <w:r w:rsidR="00485DA6" w:rsidRPr="00485DA6">
        <w:rPr>
          <w:bCs/>
          <w:sz w:val="24"/>
          <w:szCs w:val="24"/>
        </w:rPr>
        <w:t xml:space="preserve">законодавства України необхідно складати консолідовану фінансову звітність), </w:t>
      </w:r>
      <w:r w:rsidR="00485DA6" w:rsidRPr="00485DA6">
        <w:rPr>
          <w:b/>
          <w:bCs/>
          <w:sz w:val="24"/>
          <w:szCs w:val="24"/>
        </w:rPr>
        <w:t>розкриття таких даних</w:t>
      </w:r>
      <w:r w:rsidR="00485DA6" w:rsidRPr="00485DA6">
        <w:rPr>
          <w:bCs/>
          <w:sz w:val="24"/>
          <w:szCs w:val="24"/>
        </w:rPr>
        <w:t>, а також перевірку своєчасності та повноти їх подання.</w:t>
      </w:r>
    </w:p>
    <w:p w:rsidR="00485DA6" w:rsidRPr="00485DA6" w:rsidRDefault="00485DA6" w:rsidP="00485DA6">
      <w:pPr>
        <w:jc w:val="both"/>
        <w:rPr>
          <w:bCs/>
          <w:sz w:val="24"/>
          <w:szCs w:val="24"/>
        </w:rPr>
      </w:pPr>
      <w:r w:rsidRPr="00485DA6">
        <w:rPr>
          <w:bCs/>
          <w:sz w:val="24"/>
          <w:szCs w:val="24"/>
        </w:rPr>
        <w:t xml:space="preserve">Учасники ринків капіталу та професійні учасники організованих товарних ринків, державне регулювання та нагляд за діяльністю яких здійснює Національна комісія з цінних паперів та фондового ринку: </w:t>
      </w:r>
    </w:p>
    <w:p w:rsidR="00485DA6" w:rsidRPr="00485DA6" w:rsidRDefault="00485DA6" w:rsidP="00485DA6">
      <w:pPr>
        <w:jc w:val="both"/>
        <w:rPr>
          <w:bCs/>
          <w:sz w:val="24"/>
          <w:szCs w:val="24"/>
        </w:rPr>
      </w:pPr>
      <w:r w:rsidRPr="00485DA6">
        <w:rPr>
          <w:bCs/>
          <w:sz w:val="24"/>
          <w:szCs w:val="24"/>
        </w:rPr>
        <w:t xml:space="preserve"> подають до Національної комісії з цінних паперів та фондового ринку </w:t>
      </w:r>
      <w:r w:rsidRPr="00485DA6">
        <w:rPr>
          <w:b/>
          <w:bCs/>
          <w:sz w:val="24"/>
          <w:szCs w:val="24"/>
        </w:rPr>
        <w:t>звітні дані</w:t>
      </w:r>
      <w:r w:rsidRPr="00485DA6">
        <w:rPr>
          <w:bCs/>
          <w:sz w:val="24"/>
          <w:szCs w:val="24"/>
        </w:rPr>
        <w:t xml:space="preserve"> та </w:t>
      </w:r>
      <w:r w:rsidRPr="00485DA6">
        <w:rPr>
          <w:b/>
          <w:bCs/>
          <w:sz w:val="24"/>
          <w:szCs w:val="24"/>
        </w:rPr>
        <w:t>іншу звітність</w:t>
      </w:r>
      <w:r w:rsidRPr="00485DA6">
        <w:rPr>
          <w:bCs/>
          <w:sz w:val="24"/>
          <w:szCs w:val="24"/>
        </w:rPr>
        <w:t xml:space="preserve"> (іншу, ніж фінансова звітність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та іншим чином розкривають їх відповідно до вимог, встановлених Національною комісією з цінних паперів та фондового ринку; </w:t>
      </w:r>
    </w:p>
    <w:p w:rsidR="00485DA6" w:rsidRPr="00485DA6" w:rsidRDefault="00485DA6" w:rsidP="00485DA6">
      <w:pPr>
        <w:jc w:val="both"/>
        <w:rPr>
          <w:bCs/>
          <w:sz w:val="24"/>
          <w:szCs w:val="24"/>
        </w:rPr>
      </w:pPr>
      <w:r w:rsidRPr="00485DA6">
        <w:rPr>
          <w:b/>
          <w:bCs/>
          <w:sz w:val="24"/>
          <w:szCs w:val="24"/>
        </w:rPr>
        <w:t>зобов’язані подавати Національній комісії з цінних паперів та фондового ринку (в тому числі, на її запит або вимогу) іншу інформацію та документи відповідно до встановлених законодавством України вимог</w:t>
      </w:r>
      <w:r w:rsidRPr="00485DA6">
        <w:rPr>
          <w:bCs/>
          <w:sz w:val="24"/>
          <w:szCs w:val="24"/>
        </w:rPr>
        <w:t xml:space="preserve">. </w:t>
      </w:r>
    </w:p>
    <w:p w:rsidR="00485DA6" w:rsidRPr="00485DA6" w:rsidRDefault="00485DA6" w:rsidP="00485DA6">
      <w:pPr>
        <w:jc w:val="both"/>
        <w:rPr>
          <w:bCs/>
          <w:sz w:val="24"/>
          <w:szCs w:val="24"/>
        </w:rPr>
      </w:pPr>
      <w:r w:rsidRPr="00485DA6">
        <w:rPr>
          <w:bCs/>
          <w:sz w:val="24"/>
          <w:szCs w:val="24"/>
        </w:rPr>
        <w:t xml:space="preserve">Учасниками ринків капіталу та професійними учасниками організованих товарних ринків, державне регулювання та нагляд за діяльністю яких здійснює Національна комісія з цінних паперів та фондового ринку, </w:t>
      </w:r>
      <w:r w:rsidRPr="00485DA6">
        <w:rPr>
          <w:b/>
          <w:bCs/>
          <w:sz w:val="24"/>
          <w:szCs w:val="24"/>
        </w:rPr>
        <w:t>які протягом 30 календарних днів після закінчення граничного строку</w:t>
      </w:r>
      <w:r w:rsidRPr="00485DA6">
        <w:rPr>
          <w:bCs/>
          <w:sz w:val="24"/>
          <w:szCs w:val="24"/>
        </w:rPr>
        <w:t xml:space="preserve">, встановленого законодавством, </w:t>
      </w:r>
      <w:r w:rsidRPr="00BD4FD1">
        <w:rPr>
          <w:b/>
          <w:bCs/>
          <w:sz w:val="24"/>
          <w:szCs w:val="24"/>
          <w:u w:val="single"/>
        </w:rPr>
        <w:t>не подали звітність</w:t>
      </w:r>
      <w:r w:rsidRPr="00485DA6">
        <w:rPr>
          <w:bCs/>
          <w:sz w:val="24"/>
          <w:szCs w:val="24"/>
        </w:rPr>
        <w:t xml:space="preserve">, визначену абзацом третім цього підпункту, </w:t>
      </w:r>
      <w:r w:rsidRPr="00485DA6">
        <w:rPr>
          <w:b/>
          <w:bCs/>
          <w:sz w:val="24"/>
          <w:szCs w:val="24"/>
          <w:u w:val="single"/>
        </w:rPr>
        <w:t>забороняється укладати будь-які нові договори у процесі провадження професійної діяльності</w:t>
      </w:r>
      <w:r w:rsidRPr="00485DA6">
        <w:rPr>
          <w:bCs/>
          <w:sz w:val="24"/>
          <w:szCs w:val="24"/>
        </w:rPr>
        <w:t xml:space="preserve"> на ринках капіталу та організованих товарних ринків </w:t>
      </w:r>
      <w:r w:rsidRPr="00485DA6">
        <w:rPr>
          <w:b/>
          <w:bCs/>
          <w:sz w:val="24"/>
          <w:szCs w:val="24"/>
          <w:u w:val="single"/>
        </w:rPr>
        <w:t>та вносити зміни до чинних договорів щодо збільшення зобов'язань</w:t>
      </w:r>
      <w:r w:rsidRPr="00485DA6">
        <w:rPr>
          <w:bCs/>
          <w:sz w:val="24"/>
          <w:szCs w:val="24"/>
        </w:rPr>
        <w:t xml:space="preserve"> за такими договорами. Право зазначених у цьому абзаці осіб укладати будь-які нові договори у процесі провадження професійної діяльності на ринках капіталу та організованих товарних ринків та вносити зміни до чинних договорів щодо збільшення зобов'язань за такими договорами відновлюється з дня, наступного за днем подання до Національної комісії з цінних паперів та фондового </w:t>
      </w:r>
      <w:r w:rsidRPr="00485DA6">
        <w:rPr>
          <w:bCs/>
          <w:sz w:val="24"/>
          <w:szCs w:val="24"/>
        </w:rPr>
        <w:lastRenderedPageBreak/>
        <w:t xml:space="preserve">ринку звітності відповідно до вимог, встановлених Національною комісією з цінних паперів та фондового ринку. </w:t>
      </w:r>
    </w:p>
    <w:p w:rsidR="00485DA6" w:rsidRPr="00485DA6" w:rsidRDefault="00485DA6" w:rsidP="00485DA6">
      <w:pPr>
        <w:jc w:val="both"/>
        <w:rPr>
          <w:bCs/>
          <w:sz w:val="24"/>
          <w:szCs w:val="24"/>
        </w:rPr>
      </w:pPr>
      <w:r w:rsidRPr="00485DA6">
        <w:rPr>
          <w:bCs/>
          <w:sz w:val="24"/>
          <w:szCs w:val="24"/>
        </w:rPr>
        <w:t xml:space="preserve">До учасників ринків капіталу та професійних учасників організованих товарних ринків, державне регулювання та нагляд за діяльністю яких здійснює Національна комісія з цінних паперів та фондового ринку, </w:t>
      </w:r>
      <w:r w:rsidRPr="003A2E40">
        <w:rPr>
          <w:b/>
          <w:bCs/>
          <w:sz w:val="24"/>
          <w:szCs w:val="24"/>
        </w:rPr>
        <w:t>місцезнаходженням яких є</w:t>
      </w:r>
      <w:r w:rsidRPr="00485DA6">
        <w:rPr>
          <w:bCs/>
          <w:sz w:val="24"/>
          <w:szCs w:val="24"/>
        </w:rPr>
        <w:t xml:space="preserve"> населені пункти територіальних громад, включені до переліку територіальних громад, </w:t>
      </w:r>
      <w:r w:rsidRPr="003A2E40">
        <w:rPr>
          <w:b/>
          <w:bCs/>
          <w:sz w:val="24"/>
          <w:szCs w:val="24"/>
        </w:rPr>
        <w:t>які розташовані в районі проведення воєнних (бойових) дій або які перебувають в тимчасовій окупації</w:t>
      </w:r>
      <w:r w:rsidRPr="00485DA6">
        <w:rPr>
          <w:bCs/>
          <w:sz w:val="24"/>
          <w:szCs w:val="24"/>
        </w:rPr>
        <w:t xml:space="preserve">, оточенні (блокуванні), що формується у порядку, встановленому Кабінетом Міністрів України, на період перебування територіальної громади у такому переліку та </w:t>
      </w:r>
      <w:r w:rsidRPr="00485DA6">
        <w:rPr>
          <w:b/>
          <w:bCs/>
          <w:sz w:val="24"/>
          <w:szCs w:val="24"/>
          <w:u w:val="single"/>
        </w:rPr>
        <w:t>протягом трьох місяців після її виключення з цього переліку</w:t>
      </w:r>
      <w:r w:rsidRPr="00485DA6">
        <w:rPr>
          <w:bCs/>
          <w:sz w:val="24"/>
          <w:szCs w:val="24"/>
        </w:rPr>
        <w:t>, не застосовуються передбачені законом заходи впливу за неподання чи несвоєчасне подання звітності, іншої інформації та/або документів, визначених абзацами третім та четвертим цього підпункту".</w:t>
      </w:r>
    </w:p>
    <w:p w:rsidR="00485DA6" w:rsidRPr="00485DA6" w:rsidRDefault="00485DA6" w:rsidP="00485DA6">
      <w:pPr>
        <w:ind w:left="957"/>
        <w:jc w:val="both"/>
        <w:rPr>
          <w:bCs/>
          <w:sz w:val="24"/>
          <w:szCs w:val="24"/>
        </w:rPr>
      </w:pPr>
      <w:r w:rsidRPr="00485DA6">
        <w:rPr>
          <w:bCs/>
          <w:sz w:val="24"/>
          <w:szCs w:val="24"/>
        </w:rPr>
        <w:t>Розділ ІІ "Прикінцеві та перехідні положення" доповнити новим пунктом такого змісту:</w:t>
      </w:r>
    </w:p>
    <w:p w:rsidR="008E1356" w:rsidRPr="008537B9" w:rsidRDefault="00485DA6" w:rsidP="00485DA6">
      <w:pPr>
        <w:jc w:val="both"/>
        <w:rPr>
          <w:bCs/>
          <w:sz w:val="24"/>
          <w:szCs w:val="24"/>
        </w:rPr>
      </w:pPr>
      <w:r w:rsidRPr="00485DA6">
        <w:rPr>
          <w:bCs/>
          <w:sz w:val="24"/>
          <w:szCs w:val="24"/>
        </w:rPr>
        <w:t xml:space="preserve">"5. Установити, що учасники ринків капіталу та професійні учасники організованих товарних ринків, державне регулювання та нагляд за діяльністю яких здійснює Національна комісія з цінних паперів та фондового ринку, </w:t>
      </w:r>
      <w:r w:rsidRPr="00485DA6">
        <w:rPr>
          <w:b/>
          <w:bCs/>
          <w:sz w:val="24"/>
          <w:szCs w:val="24"/>
        </w:rPr>
        <w:t>які станом на день набрання чинності цим Законом не здійснювалиподання</w:t>
      </w:r>
      <w:r w:rsidRPr="00485DA6">
        <w:rPr>
          <w:bCs/>
          <w:sz w:val="24"/>
          <w:szCs w:val="24"/>
        </w:rPr>
        <w:t xml:space="preserve"> до  Національної комісії з цінних паперів та фондового ринку звітних даних та іншої звітності (іншої, ніж фінансова та аудиторські звіти за результатами обов’язкового аудиту річної фінансової звітності (консолідованої фінансової звітності, якщо відповідно до законодавства України необхідно складати консолідовану фінансову звітність), іншої інформації і документів та  розкриття цих звітних даних (цієї звітності), </w:t>
      </w:r>
      <w:r w:rsidRPr="00485DA6">
        <w:rPr>
          <w:b/>
          <w:bCs/>
          <w:sz w:val="24"/>
          <w:szCs w:val="24"/>
          <w:u w:val="single"/>
        </w:rPr>
        <w:t>подають до</w:t>
      </w:r>
      <w:r w:rsidRPr="00485DA6">
        <w:rPr>
          <w:bCs/>
          <w:sz w:val="24"/>
          <w:szCs w:val="24"/>
        </w:rPr>
        <w:t xml:space="preserve"> Національної комісії з цінних паперів та фондового ринку такі звітні дані  (таку звітність), іншу інформацію і документи та  розкривають  ці звітні дані  (цю звітність) відповідно до вимог, встановлених Національною комісією з цінних паперів та фондового ринку, </w:t>
      </w:r>
      <w:r w:rsidRPr="00485DA6">
        <w:rPr>
          <w:b/>
          <w:bCs/>
          <w:sz w:val="24"/>
          <w:szCs w:val="24"/>
          <w:u w:val="single"/>
        </w:rPr>
        <w:t>протягом 60 календарних днів з дня набрання чинності цим Законом за весь період неподання</w:t>
      </w:r>
      <w:r w:rsidRPr="00485DA6">
        <w:rPr>
          <w:bCs/>
          <w:sz w:val="24"/>
          <w:szCs w:val="24"/>
        </w:rPr>
        <w:t xml:space="preserve"> звітних даних (звітності), іншої інформації і документів та  не</w:t>
      </w:r>
      <w:bookmarkStart w:id="0" w:name="_GoBack"/>
      <w:bookmarkEnd w:id="0"/>
      <w:r w:rsidRPr="00485DA6">
        <w:rPr>
          <w:bCs/>
          <w:sz w:val="24"/>
          <w:szCs w:val="24"/>
        </w:rPr>
        <w:t>розкриття цих звітних даних (цієї звітності)".</w:t>
      </w:r>
      <w:r w:rsidR="008E1356">
        <w:rPr>
          <w:bCs/>
          <w:sz w:val="24"/>
          <w:szCs w:val="24"/>
        </w:rPr>
        <w:t>»</w:t>
      </w:r>
    </w:p>
    <w:p w:rsidR="00731ED4" w:rsidRPr="00415AF9" w:rsidRDefault="00731ED4" w:rsidP="00731ED4">
      <w:pPr>
        <w:jc w:val="both"/>
        <w:rPr>
          <w:sz w:val="24"/>
          <w:szCs w:val="24"/>
        </w:rPr>
      </w:pPr>
    </w:p>
    <w:sectPr w:rsidR="00731ED4" w:rsidRPr="00415AF9" w:rsidSect="00C616CE">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60806824"/>
    <w:multiLevelType w:val="hybridMultilevel"/>
    <w:tmpl w:val="79DA0304"/>
    <w:lvl w:ilvl="0" w:tplc="F51A8AE4">
      <w:start w:val="1"/>
      <w:numFmt w:val="decimal"/>
      <w:lvlText w:val="%1."/>
      <w:lvlJc w:val="left"/>
      <w:pPr>
        <w:ind w:left="957" w:hanging="390"/>
      </w:pPr>
      <w:rPr>
        <w:rFonts w:hint="default"/>
        <w:b/>
      </w:rPr>
    </w:lvl>
    <w:lvl w:ilvl="1" w:tplc="04220019" w:tentative="1">
      <w:start w:val="1"/>
      <w:numFmt w:val="lowerLetter"/>
      <w:lvlText w:val="%2."/>
      <w:lvlJc w:val="left"/>
      <w:pPr>
        <w:ind w:left="1647" w:hanging="360"/>
      </w:pPr>
    </w:lvl>
    <w:lvl w:ilvl="2" w:tplc="0422001B" w:tentative="1">
      <w:start w:val="1"/>
      <w:numFmt w:val="lowerRoman"/>
      <w:lvlText w:val="%3."/>
      <w:lvlJc w:val="right"/>
      <w:pPr>
        <w:ind w:left="2367" w:hanging="180"/>
      </w:pPr>
    </w:lvl>
    <w:lvl w:ilvl="3" w:tplc="0422000F" w:tentative="1">
      <w:start w:val="1"/>
      <w:numFmt w:val="decimal"/>
      <w:lvlText w:val="%4."/>
      <w:lvlJc w:val="left"/>
      <w:pPr>
        <w:ind w:left="3087" w:hanging="360"/>
      </w:pPr>
    </w:lvl>
    <w:lvl w:ilvl="4" w:tplc="04220019" w:tentative="1">
      <w:start w:val="1"/>
      <w:numFmt w:val="lowerLetter"/>
      <w:lvlText w:val="%5."/>
      <w:lvlJc w:val="left"/>
      <w:pPr>
        <w:ind w:left="3807" w:hanging="360"/>
      </w:pPr>
    </w:lvl>
    <w:lvl w:ilvl="5" w:tplc="0422001B" w:tentative="1">
      <w:start w:val="1"/>
      <w:numFmt w:val="lowerRoman"/>
      <w:lvlText w:val="%6."/>
      <w:lvlJc w:val="right"/>
      <w:pPr>
        <w:ind w:left="4527" w:hanging="180"/>
      </w:pPr>
    </w:lvl>
    <w:lvl w:ilvl="6" w:tplc="0422000F" w:tentative="1">
      <w:start w:val="1"/>
      <w:numFmt w:val="decimal"/>
      <w:lvlText w:val="%7."/>
      <w:lvlJc w:val="left"/>
      <w:pPr>
        <w:ind w:left="5247" w:hanging="360"/>
      </w:pPr>
    </w:lvl>
    <w:lvl w:ilvl="7" w:tplc="04220019" w:tentative="1">
      <w:start w:val="1"/>
      <w:numFmt w:val="lowerLetter"/>
      <w:lvlText w:val="%8."/>
      <w:lvlJc w:val="left"/>
      <w:pPr>
        <w:ind w:left="5967" w:hanging="360"/>
      </w:pPr>
    </w:lvl>
    <w:lvl w:ilvl="8" w:tplc="0422001B" w:tentative="1">
      <w:start w:val="1"/>
      <w:numFmt w:val="lowerRoman"/>
      <w:lvlText w:val="%9."/>
      <w:lvlJc w:val="right"/>
      <w:pPr>
        <w:ind w:left="6687"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C25C85"/>
    <w:rsid w:val="00152BC4"/>
    <w:rsid w:val="002943BB"/>
    <w:rsid w:val="00327903"/>
    <w:rsid w:val="003A2E40"/>
    <w:rsid w:val="00415AF9"/>
    <w:rsid w:val="00485DA6"/>
    <w:rsid w:val="004A4D63"/>
    <w:rsid w:val="005F5C8D"/>
    <w:rsid w:val="00731ED4"/>
    <w:rsid w:val="008537B9"/>
    <w:rsid w:val="00860A99"/>
    <w:rsid w:val="008A654F"/>
    <w:rsid w:val="008E1356"/>
    <w:rsid w:val="00BD4FD1"/>
    <w:rsid w:val="00C25C85"/>
    <w:rsid w:val="00C616CE"/>
    <w:rsid w:val="00DE2B2E"/>
    <w:rsid w:val="00EE1FC5"/>
    <w:rsid w:val="00F41403"/>
  </w:rsids>
  <m:mathPr>
    <m:mathFont m:val="Cambria Math"/>
    <m:brkBin m:val="before"/>
    <m:brkBinSub m:val="--"/>
    <m:smallFrac/>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616CE"/>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3321</Words>
  <Characters>1893</Characters>
  <Application>Microsoft Office Word</Application>
  <DocSecurity>0</DocSecurity>
  <Lines>15</Lines>
  <Paragraphs>10</Paragraphs>
  <ScaleCrop>false</ScaleCrop>
  <Company>diakov.net</Company>
  <LinksUpToDate>false</LinksUpToDate>
  <CharactersWithSpaces>5204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zelenetska</dc:creator>
  <cp:lastModifiedBy>Olga Olga</cp:lastModifiedBy>
  <cp:revision>2</cp:revision>
  <dcterms:created xsi:type="dcterms:W3CDTF">2022-07-22T10:46:00Z</dcterms:created>
  <dcterms:modified xsi:type="dcterms:W3CDTF">2022-07-22T10:46:00Z</dcterms:modified>
</cp:coreProperties>
</file>