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20" w:rsidRDefault="0035034B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20" w:rsidRPr="0035034B" w:rsidRDefault="0035034B">
      <w:pPr>
        <w:spacing w:after="0"/>
        <w:jc w:val="center"/>
        <w:rPr>
          <w:lang w:val="ru-RU"/>
        </w:rPr>
      </w:pPr>
      <w:bookmarkStart w:id="1" w:name="2"/>
      <w:bookmarkEnd w:id="0"/>
      <w:r w:rsidRPr="0035034B">
        <w:rPr>
          <w:rFonts w:ascii="Arial"/>
          <w:b/>
          <w:color w:val="000000"/>
          <w:sz w:val="21"/>
          <w:lang w:val="ru-RU"/>
        </w:rPr>
        <w:t>НАЦІОНАЛЬНА</w:t>
      </w:r>
      <w:r w:rsidRPr="0035034B">
        <w:rPr>
          <w:rFonts w:ascii="Arial"/>
          <w:b/>
          <w:color w:val="000000"/>
          <w:sz w:val="21"/>
          <w:lang w:val="ru-RU"/>
        </w:rPr>
        <w:t xml:space="preserve"> </w:t>
      </w:r>
      <w:r w:rsidRPr="0035034B">
        <w:rPr>
          <w:rFonts w:ascii="Arial"/>
          <w:b/>
          <w:color w:val="000000"/>
          <w:sz w:val="21"/>
          <w:lang w:val="ru-RU"/>
        </w:rPr>
        <w:t>КОМІСІЯ</w:t>
      </w:r>
      <w:r w:rsidRPr="0035034B">
        <w:rPr>
          <w:rFonts w:ascii="Arial"/>
          <w:b/>
          <w:color w:val="000000"/>
          <w:sz w:val="21"/>
          <w:lang w:val="ru-RU"/>
        </w:rPr>
        <w:t xml:space="preserve"> </w:t>
      </w:r>
      <w:r w:rsidRPr="0035034B">
        <w:rPr>
          <w:rFonts w:ascii="Arial"/>
          <w:b/>
          <w:color w:val="000000"/>
          <w:sz w:val="21"/>
          <w:lang w:val="ru-RU"/>
        </w:rPr>
        <w:t>З</w:t>
      </w:r>
      <w:r w:rsidRPr="0035034B">
        <w:rPr>
          <w:rFonts w:ascii="Arial"/>
          <w:b/>
          <w:color w:val="000000"/>
          <w:sz w:val="21"/>
          <w:lang w:val="ru-RU"/>
        </w:rPr>
        <w:t xml:space="preserve"> </w:t>
      </w:r>
      <w:r w:rsidRPr="0035034B">
        <w:rPr>
          <w:rFonts w:ascii="Arial"/>
          <w:b/>
          <w:color w:val="000000"/>
          <w:sz w:val="21"/>
          <w:lang w:val="ru-RU"/>
        </w:rPr>
        <w:t>ЦІННИХ</w:t>
      </w:r>
      <w:r w:rsidRPr="0035034B">
        <w:rPr>
          <w:rFonts w:ascii="Arial"/>
          <w:b/>
          <w:color w:val="000000"/>
          <w:sz w:val="21"/>
          <w:lang w:val="ru-RU"/>
        </w:rPr>
        <w:t xml:space="preserve"> </w:t>
      </w:r>
      <w:r w:rsidRPr="0035034B">
        <w:rPr>
          <w:rFonts w:ascii="Arial"/>
          <w:b/>
          <w:color w:val="000000"/>
          <w:sz w:val="21"/>
          <w:lang w:val="ru-RU"/>
        </w:rPr>
        <w:t>ПАПЕРІВ</w:t>
      </w:r>
      <w:r w:rsidRPr="0035034B">
        <w:rPr>
          <w:rFonts w:ascii="Arial"/>
          <w:b/>
          <w:color w:val="000000"/>
          <w:sz w:val="21"/>
          <w:lang w:val="ru-RU"/>
        </w:rPr>
        <w:t xml:space="preserve"> </w:t>
      </w:r>
      <w:r w:rsidRPr="0035034B">
        <w:rPr>
          <w:rFonts w:ascii="Arial"/>
          <w:b/>
          <w:color w:val="000000"/>
          <w:sz w:val="21"/>
          <w:lang w:val="ru-RU"/>
        </w:rPr>
        <w:t>ТА</w:t>
      </w:r>
      <w:r w:rsidRPr="0035034B">
        <w:rPr>
          <w:rFonts w:ascii="Arial"/>
          <w:b/>
          <w:color w:val="000000"/>
          <w:sz w:val="21"/>
          <w:lang w:val="ru-RU"/>
        </w:rPr>
        <w:t xml:space="preserve"> </w:t>
      </w:r>
      <w:r w:rsidRPr="0035034B">
        <w:rPr>
          <w:rFonts w:ascii="Arial"/>
          <w:b/>
          <w:color w:val="000000"/>
          <w:sz w:val="21"/>
          <w:lang w:val="ru-RU"/>
        </w:rPr>
        <w:t>ФОНДОВОГО</w:t>
      </w:r>
      <w:r w:rsidRPr="0035034B">
        <w:rPr>
          <w:rFonts w:ascii="Arial"/>
          <w:b/>
          <w:color w:val="000000"/>
          <w:sz w:val="21"/>
          <w:lang w:val="ru-RU"/>
        </w:rPr>
        <w:t xml:space="preserve"> </w:t>
      </w:r>
      <w:r w:rsidRPr="0035034B">
        <w:rPr>
          <w:rFonts w:ascii="Arial"/>
          <w:b/>
          <w:color w:val="000000"/>
          <w:sz w:val="21"/>
          <w:lang w:val="ru-RU"/>
        </w:rPr>
        <w:t>РИНКУ</w:t>
      </w:r>
    </w:p>
    <w:p w:rsidR="00B75E20" w:rsidRPr="0035034B" w:rsidRDefault="0035034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5034B">
        <w:rPr>
          <w:rFonts w:ascii="Arial"/>
          <w:color w:val="000000"/>
          <w:sz w:val="27"/>
          <w:lang w:val="ru-RU"/>
        </w:rPr>
        <w:t>РІШЕННЯ</w:t>
      </w:r>
    </w:p>
    <w:p w:rsidR="00B75E20" w:rsidRPr="0035034B" w:rsidRDefault="0035034B">
      <w:pPr>
        <w:spacing w:after="0"/>
        <w:jc w:val="center"/>
        <w:rPr>
          <w:lang w:val="ru-RU"/>
        </w:rPr>
      </w:pPr>
      <w:bookmarkStart w:id="3" w:name="4"/>
      <w:bookmarkEnd w:id="2"/>
      <w:r w:rsidRPr="0035034B">
        <w:rPr>
          <w:rFonts w:ascii="Arial"/>
          <w:b/>
          <w:color w:val="000000"/>
          <w:sz w:val="18"/>
          <w:lang w:val="ru-RU"/>
        </w:rPr>
        <w:t>від</w:t>
      </w:r>
      <w:r w:rsidRPr="0035034B">
        <w:rPr>
          <w:rFonts w:ascii="Arial"/>
          <w:b/>
          <w:color w:val="000000"/>
          <w:sz w:val="18"/>
          <w:lang w:val="ru-RU"/>
        </w:rPr>
        <w:t xml:space="preserve"> 23 </w:t>
      </w:r>
      <w:r w:rsidRPr="0035034B">
        <w:rPr>
          <w:rFonts w:ascii="Arial"/>
          <w:b/>
          <w:color w:val="000000"/>
          <w:sz w:val="18"/>
          <w:lang w:val="ru-RU"/>
        </w:rPr>
        <w:t>квітня</w:t>
      </w:r>
      <w:r w:rsidRPr="0035034B">
        <w:rPr>
          <w:rFonts w:ascii="Arial"/>
          <w:b/>
          <w:color w:val="000000"/>
          <w:sz w:val="18"/>
          <w:lang w:val="ru-RU"/>
        </w:rPr>
        <w:t xml:space="preserve"> 2022 </w:t>
      </w:r>
      <w:r w:rsidRPr="0035034B">
        <w:rPr>
          <w:rFonts w:ascii="Arial"/>
          <w:b/>
          <w:color w:val="000000"/>
          <w:sz w:val="18"/>
          <w:lang w:val="ru-RU"/>
        </w:rPr>
        <w:t>року</w:t>
      </w:r>
      <w:r w:rsidRPr="0035034B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35034B">
        <w:rPr>
          <w:rFonts w:ascii="Arial"/>
          <w:b/>
          <w:color w:val="000000"/>
          <w:sz w:val="18"/>
          <w:lang w:val="ru-RU"/>
        </w:rPr>
        <w:t xml:space="preserve"> 314</w:t>
      </w:r>
    </w:p>
    <w:p w:rsidR="00B75E20" w:rsidRPr="0035034B" w:rsidRDefault="0035034B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35034B">
        <w:rPr>
          <w:rFonts w:ascii="Arial"/>
          <w:color w:val="000000"/>
          <w:sz w:val="27"/>
          <w:lang w:val="ru-RU"/>
        </w:rPr>
        <w:t>Про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подання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професійними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учасниками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ринків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капіталу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та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організованих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товарних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ринків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звітних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даних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та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інших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відомостей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до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Національної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комісії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з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цінних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паперів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та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фондового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ринку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під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час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дії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воєнного</w:t>
      </w:r>
      <w:r w:rsidRPr="0035034B">
        <w:rPr>
          <w:rFonts w:ascii="Arial"/>
          <w:color w:val="000000"/>
          <w:sz w:val="27"/>
          <w:lang w:val="ru-RU"/>
        </w:rPr>
        <w:t xml:space="preserve"> </w:t>
      </w:r>
      <w:r w:rsidRPr="0035034B">
        <w:rPr>
          <w:rFonts w:ascii="Arial"/>
          <w:color w:val="000000"/>
          <w:sz w:val="27"/>
          <w:lang w:val="ru-RU"/>
        </w:rPr>
        <w:t>стану</w:t>
      </w:r>
    </w:p>
    <w:p w:rsidR="00B75E20" w:rsidRDefault="0035034B">
      <w:pPr>
        <w:spacing w:after="0"/>
        <w:jc w:val="center"/>
      </w:pPr>
      <w:bookmarkStart w:id="5" w:name="25"/>
      <w:bookmarkEnd w:id="4"/>
      <w:r w:rsidRPr="0035034B">
        <w:rPr>
          <w:rFonts w:ascii="Arial"/>
          <w:color w:val="000000"/>
          <w:sz w:val="18"/>
          <w:highlight w:val="yellow"/>
        </w:rPr>
        <w:t>Із</w:t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змінами</w:t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і</w:t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доповненнями</w:t>
      </w:r>
      <w:r w:rsidRPr="0035034B">
        <w:rPr>
          <w:rFonts w:ascii="Arial"/>
          <w:color w:val="000000"/>
          <w:sz w:val="18"/>
          <w:highlight w:val="yellow"/>
        </w:rPr>
        <w:t xml:space="preserve">, </w:t>
      </w:r>
      <w:r w:rsidRPr="0035034B">
        <w:rPr>
          <w:rFonts w:ascii="Arial"/>
          <w:color w:val="000000"/>
          <w:sz w:val="18"/>
          <w:highlight w:val="yellow"/>
        </w:rPr>
        <w:t>внесеними</w:t>
      </w:r>
      <w:r w:rsidRPr="0035034B">
        <w:rPr>
          <w:highlight w:val="yellow"/>
        </w:rPr>
        <w:br/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рішеннями</w:t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Національної</w:t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комісії</w:t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з</w:t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цінних</w:t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паперів</w:t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та</w:t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фондового</w:t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ринку</w:t>
      </w:r>
      <w:r w:rsidRPr="0035034B">
        <w:rPr>
          <w:highlight w:val="yellow"/>
        </w:rPr>
        <w:br/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від</w:t>
      </w:r>
      <w:r w:rsidRPr="0035034B">
        <w:rPr>
          <w:rFonts w:ascii="Arial"/>
          <w:color w:val="000000"/>
          <w:sz w:val="18"/>
          <w:highlight w:val="yellow"/>
        </w:rPr>
        <w:t xml:space="preserve"> 5 </w:t>
      </w:r>
      <w:r w:rsidRPr="0035034B">
        <w:rPr>
          <w:rFonts w:ascii="Arial"/>
          <w:color w:val="000000"/>
          <w:sz w:val="18"/>
          <w:highlight w:val="yellow"/>
        </w:rPr>
        <w:t>травня</w:t>
      </w:r>
      <w:r w:rsidRPr="0035034B">
        <w:rPr>
          <w:rFonts w:ascii="Arial"/>
          <w:color w:val="000000"/>
          <w:sz w:val="18"/>
          <w:highlight w:val="yellow"/>
        </w:rPr>
        <w:t xml:space="preserve"> 2022 </w:t>
      </w:r>
      <w:r w:rsidRPr="0035034B">
        <w:rPr>
          <w:rFonts w:ascii="Arial"/>
          <w:color w:val="000000"/>
          <w:sz w:val="18"/>
          <w:highlight w:val="yellow"/>
        </w:rPr>
        <w:t>року</w:t>
      </w:r>
      <w:r w:rsidRPr="0035034B">
        <w:rPr>
          <w:rFonts w:ascii="Arial"/>
          <w:color w:val="000000"/>
          <w:sz w:val="18"/>
          <w:highlight w:val="yellow"/>
        </w:rPr>
        <w:t xml:space="preserve"> N 332,</w:t>
      </w:r>
      <w:r w:rsidRPr="0035034B">
        <w:rPr>
          <w:highlight w:val="yellow"/>
        </w:rPr>
        <w:br/>
      </w:r>
      <w:r w:rsidRPr="0035034B">
        <w:rPr>
          <w:rFonts w:ascii="Arial"/>
          <w:color w:val="000000"/>
          <w:sz w:val="18"/>
          <w:highlight w:val="yellow"/>
        </w:rPr>
        <w:t>від</w:t>
      </w:r>
      <w:r w:rsidRPr="0035034B">
        <w:rPr>
          <w:rFonts w:ascii="Arial"/>
          <w:color w:val="000000"/>
          <w:sz w:val="18"/>
          <w:highlight w:val="yellow"/>
        </w:rPr>
        <w:t xml:space="preserve"> 11 </w:t>
      </w:r>
      <w:r w:rsidRPr="0035034B">
        <w:rPr>
          <w:rFonts w:ascii="Arial"/>
          <w:color w:val="000000"/>
          <w:sz w:val="18"/>
          <w:highlight w:val="yellow"/>
        </w:rPr>
        <w:t>травня</w:t>
      </w:r>
      <w:r w:rsidRPr="0035034B">
        <w:rPr>
          <w:rFonts w:ascii="Arial"/>
          <w:color w:val="000000"/>
          <w:sz w:val="18"/>
          <w:highlight w:val="yellow"/>
        </w:rPr>
        <w:t xml:space="preserve"> 2022 </w:t>
      </w:r>
      <w:r w:rsidRPr="0035034B">
        <w:rPr>
          <w:rFonts w:ascii="Arial"/>
          <w:color w:val="000000"/>
          <w:sz w:val="18"/>
          <w:highlight w:val="yellow"/>
        </w:rPr>
        <w:t>року</w:t>
      </w:r>
      <w:r w:rsidRPr="0035034B">
        <w:rPr>
          <w:rFonts w:ascii="Arial"/>
          <w:color w:val="000000"/>
          <w:sz w:val="18"/>
          <w:highlight w:val="yellow"/>
        </w:rPr>
        <w:t xml:space="preserve"> N 362,</w:t>
      </w:r>
      <w:r w:rsidRPr="0035034B">
        <w:rPr>
          <w:highlight w:val="yellow"/>
        </w:rPr>
        <w:br/>
      </w:r>
      <w:r w:rsidRPr="0035034B">
        <w:rPr>
          <w:rFonts w:ascii="Arial"/>
          <w:color w:val="000000"/>
          <w:sz w:val="18"/>
          <w:highlight w:val="yellow"/>
        </w:rPr>
        <w:t xml:space="preserve"> </w:t>
      </w:r>
      <w:r w:rsidRPr="0035034B">
        <w:rPr>
          <w:rFonts w:ascii="Arial"/>
          <w:color w:val="000000"/>
          <w:sz w:val="18"/>
          <w:highlight w:val="yellow"/>
        </w:rPr>
        <w:t>від</w:t>
      </w:r>
      <w:r w:rsidRPr="0035034B">
        <w:rPr>
          <w:rFonts w:ascii="Arial"/>
          <w:color w:val="000000"/>
          <w:sz w:val="18"/>
          <w:highlight w:val="yellow"/>
        </w:rPr>
        <w:t xml:space="preserve"> 4 </w:t>
      </w:r>
      <w:r w:rsidRPr="0035034B">
        <w:rPr>
          <w:rFonts w:ascii="Arial"/>
          <w:color w:val="000000"/>
          <w:sz w:val="18"/>
          <w:highlight w:val="yellow"/>
        </w:rPr>
        <w:t>серпня</w:t>
      </w:r>
      <w:r w:rsidRPr="0035034B">
        <w:rPr>
          <w:rFonts w:ascii="Arial"/>
          <w:color w:val="000000"/>
          <w:sz w:val="18"/>
          <w:highlight w:val="yellow"/>
        </w:rPr>
        <w:t xml:space="preserve"> 2022 </w:t>
      </w:r>
      <w:r w:rsidRPr="0035034B">
        <w:rPr>
          <w:rFonts w:ascii="Arial"/>
          <w:color w:val="000000"/>
          <w:sz w:val="18"/>
          <w:highlight w:val="yellow"/>
        </w:rPr>
        <w:t>року</w:t>
      </w:r>
      <w:r w:rsidRPr="0035034B">
        <w:rPr>
          <w:rFonts w:ascii="Arial"/>
          <w:color w:val="000000"/>
          <w:sz w:val="18"/>
          <w:highlight w:val="yellow"/>
        </w:rPr>
        <w:t xml:space="preserve"> N 1053,</w:t>
      </w:r>
      <w:r w:rsidRPr="0035034B">
        <w:rPr>
          <w:highlight w:val="yellow"/>
        </w:rPr>
        <w:br/>
      </w:r>
      <w:r w:rsidRPr="0035034B">
        <w:rPr>
          <w:rFonts w:ascii="Arial"/>
          <w:color w:val="000000"/>
          <w:sz w:val="18"/>
          <w:highlight w:val="yellow"/>
        </w:rPr>
        <w:t>від</w:t>
      </w:r>
      <w:r w:rsidRPr="0035034B">
        <w:rPr>
          <w:rFonts w:ascii="Arial"/>
          <w:color w:val="000000"/>
          <w:sz w:val="18"/>
          <w:highlight w:val="yellow"/>
        </w:rPr>
        <w:t xml:space="preserve"> 4 </w:t>
      </w:r>
      <w:r w:rsidRPr="0035034B">
        <w:rPr>
          <w:rFonts w:ascii="Arial"/>
          <w:color w:val="000000"/>
          <w:sz w:val="18"/>
          <w:highlight w:val="yellow"/>
        </w:rPr>
        <w:t>серп</w:t>
      </w:r>
      <w:r w:rsidRPr="0035034B">
        <w:rPr>
          <w:rFonts w:ascii="Arial"/>
          <w:color w:val="000000"/>
          <w:sz w:val="18"/>
          <w:highlight w:val="yellow"/>
        </w:rPr>
        <w:t>ня</w:t>
      </w:r>
      <w:r w:rsidRPr="0035034B">
        <w:rPr>
          <w:rFonts w:ascii="Arial"/>
          <w:color w:val="000000"/>
          <w:sz w:val="18"/>
          <w:highlight w:val="yellow"/>
        </w:rPr>
        <w:t xml:space="preserve"> 2022 </w:t>
      </w:r>
      <w:r w:rsidRPr="0035034B">
        <w:rPr>
          <w:rFonts w:ascii="Arial"/>
          <w:color w:val="000000"/>
          <w:sz w:val="18"/>
          <w:highlight w:val="yellow"/>
        </w:rPr>
        <w:t>року</w:t>
      </w:r>
      <w:r w:rsidRPr="0035034B">
        <w:rPr>
          <w:rFonts w:ascii="Arial"/>
          <w:color w:val="000000"/>
          <w:sz w:val="18"/>
          <w:highlight w:val="yellow"/>
        </w:rPr>
        <w:t xml:space="preserve"> N 1055,</w:t>
      </w:r>
      <w:r w:rsidRPr="0035034B">
        <w:rPr>
          <w:highlight w:val="yellow"/>
        </w:rPr>
        <w:br/>
      </w:r>
      <w:r w:rsidRPr="0035034B">
        <w:rPr>
          <w:rFonts w:ascii="Arial"/>
          <w:color w:val="000000"/>
          <w:sz w:val="18"/>
          <w:highlight w:val="yellow"/>
        </w:rPr>
        <w:t>від</w:t>
      </w:r>
      <w:r w:rsidRPr="0035034B">
        <w:rPr>
          <w:rFonts w:ascii="Arial"/>
          <w:color w:val="000000"/>
          <w:sz w:val="18"/>
          <w:highlight w:val="yellow"/>
        </w:rPr>
        <w:t xml:space="preserve"> 5 </w:t>
      </w:r>
      <w:r w:rsidRPr="0035034B">
        <w:rPr>
          <w:rFonts w:ascii="Arial"/>
          <w:color w:val="000000"/>
          <w:sz w:val="18"/>
          <w:highlight w:val="yellow"/>
        </w:rPr>
        <w:t>вересня</w:t>
      </w:r>
      <w:r w:rsidRPr="0035034B">
        <w:rPr>
          <w:rFonts w:ascii="Arial"/>
          <w:color w:val="000000"/>
          <w:sz w:val="18"/>
          <w:highlight w:val="yellow"/>
        </w:rPr>
        <w:t xml:space="preserve"> 2022 </w:t>
      </w:r>
      <w:r w:rsidRPr="0035034B">
        <w:rPr>
          <w:rFonts w:ascii="Arial"/>
          <w:color w:val="000000"/>
          <w:sz w:val="18"/>
          <w:highlight w:val="yellow"/>
        </w:rPr>
        <w:t>року</w:t>
      </w:r>
      <w:r w:rsidRPr="0035034B">
        <w:rPr>
          <w:rFonts w:ascii="Arial"/>
          <w:color w:val="000000"/>
          <w:sz w:val="18"/>
          <w:highlight w:val="yellow"/>
        </w:rPr>
        <w:t xml:space="preserve"> N 1140,</w:t>
      </w:r>
      <w:r w:rsidRPr="0035034B">
        <w:rPr>
          <w:highlight w:val="yellow"/>
        </w:rPr>
        <w:br/>
      </w:r>
      <w:r w:rsidRPr="0035034B">
        <w:rPr>
          <w:rFonts w:ascii="Arial"/>
          <w:color w:val="000000"/>
          <w:sz w:val="18"/>
          <w:highlight w:val="yellow"/>
        </w:rPr>
        <w:t>від</w:t>
      </w:r>
      <w:r w:rsidRPr="0035034B">
        <w:rPr>
          <w:rFonts w:ascii="Arial"/>
          <w:color w:val="000000"/>
          <w:sz w:val="18"/>
          <w:highlight w:val="yellow"/>
        </w:rPr>
        <w:t xml:space="preserve"> 13 </w:t>
      </w:r>
      <w:r w:rsidRPr="0035034B">
        <w:rPr>
          <w:rFonts w:ascii="Arial"/>
          <w:color w:val="000000"/>
          <w:sz w:val="18"/>
          <w:highlight w:val="yellow"/>
        </w:rPr>
        <w:t>жовтня</w:t>
      </w:r>
      <w:r w:rsidRPr="0035034B">
        <w:rPr>
          <w:rFonts w:ascii="Arial"/>
          <w:color w:val="000000"/>
          <w:sz w:val="18"/>
          <w:highlight w:val="yellow"/>
        </w:rPr>
        <w:t xml:space="preserve"> 2022 </w:t>
      </w:r>
      <w:r w:rsidRPr="0035034B">
        <w:rPr>
          <w:rFonts w:ascii="Arial"/>
          <w:color w:val="000000"/>
          <w:sz w:val="18"/>
          <w:highlight w:val="yellow"/>
        </w:rPr>
        <w:t>року</w:t>
      </w:r>
      <w:r w:rsidRPr="0035034B">
        <w:rPr>
          <w:rFonts w:ascii="Arial"/>
          <w:color w:val="000000"/>
          <w:sz w:val="18"/>
          <w:highlight w:val="yellow"/>
        </w:rPr>
        <w:t xml:space="preserve"> N 1250,</w:t>
      </w:r>
      <w:r w:rsidRPr="0035034B">
        <w:rPr>
          <w:highlight w:val="yellow"/>
        </w:rPr>
        <w:br/>
      </w:r>
      <w:r w:rsidRPr="0035034B">
        <w:rPr>
          <w:rFonts w:ascii="Arial"/>
          <w:color w:val="000000"/>
          <w:sz w:val="18"/>
          <w:highlight w:val="yellow"/>
        </w:rPr>
        <w:t>від</w:t>
      </w:r>
      <w:r w:rsidRPr="0035034B">
        <w:rPr>
          <w:rFonts w:ascii="Arial"/>
          <w:color w:val="000000"/>
          <w:sz w:val="18"/>
          <w:highlight w:val="yellow"/>
        </w:rPr>
        <w:t xml:space="preserve"> 15 </w:t>
      </w:r>
      <w:r w:rsidRPr="0035034B">
        <w:rPr>
          <w:rFonts w:ascii="Arial"/>
          <w:color w:val="000000"/>
          <w:sz w:val="18"/>
          <w:highlight w:val="yellow"/>
        </w:rPr>
        <w:t>лютого</w:t>
      </w:r>
      <w:r w:rsidRPr="0035034B">
        <w:rPr>
          <w:rFonts w:ascii="Arial"/>
          <w:color w:val="000000"/>
          <w:sz w:val="18"/>
          <w:highlight w:val="yellow"/>
        </w:rPr>
        <w:t xml:space="preserve"> 2023 </w:t>
      </w:r>
      <w:r w:rsidRPr="0035034B">
        <w:rPr>
          <w:rFonts w:ascii="Arial"/>
          <w:color w:val="000000"/>
          <w:sz w:val="18"/>
          <w:highlight w:val="yellow"/>
        </w:rPr>
        <w:t>року</w:t>
      </w:r>
      <w:r w:rsidRPr="0035034B">
        <w:rPr>
          <w:rFonts w:ascii="Arial"/>
          <w:color w:val="000000"/>
          <w:sz w:val="18"/>
          <w:highlight w:val="yellow"/>
        </w:rPr>
        <w:t xml:space="preserve"> N 153</w:t>
      </w:r>
      <w:bookmarkStart w:id="6" w:name="_GoBack"/>
      <w:bookmarkEnd w:id="6"/>
    </w:p>
    <w:p w:rsidR="00B75E20" w:rsidRDefault="0035034B">
      <w:pPr>
        <w:spacing w:after="0"/>
        <w:ind w:firstLine="240"/>
      </w:pPr>
      <w:bookmarkStart w:id="7" w:name="6"/>
      <w:bookmarkEnd w:id="5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вирішила</w:t>
      </w:r>
      <w:r>
        <w:rPr>
          <w:rFonts w:ascii="Arial"/>
          <w:color w:val="000000"/>
          <w:sz w:val="18"/>
        </w:rPr>
        <w:t>:</w:t>
      </w:r>
    </w:p>
    <w:p w:rsidR="00B75E20" w:rsidRDefault="0035034B">
      <w:pPr>
        <w:spacing w:after="0"/>
        <w:ind w:firstLine="240"/>
      </w:pPr>
      <w:bookmarkStart w:id="8" w:name="38"/>
      <w:bookmarkEnd w:id="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  <w:jc w:val="right"/>
      </w:pPr>
      <w:bookmarkStart w:id="9" w:name="39"/>
      <w:bookmarkEnd w:id="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1 - 7 </w:t>
      </w:r>
      <w:r>
        <w:rPr>
          <w:rFonts w:ascii="Arial"/>
          <w:color w:val="000000"/>
          <w:sz w:val="18"/>
        </w:rPr>
        <w:t>уважати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2 - 8,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153)</w:t>
      </w:r>
    </w:p>
    <w:p w:rsidR="00B75E20" w:rsidRDefault="0035034B">
      <w:pPr>
        <w:spacing w:after="0"/>
        <w:ind w:firstLine="240"/>
      </w:pPr>
      <w:bookmarkStart w:id="10" w:name="40"/>
      <w:bookmarkEnd w:id="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  <w:jc w:val="right"/>
      </w:pPr>
      <w:bookmarkStart w:id="11" w:name="41"/>
      <w:bookmarkEnd w:id="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1055)</w:t>
      </w:r>
    </w:p>
    <w:p w:rsidR="00B75E20" w:rsidRDefault="0035034B">
      <w:pPr>
        <w:spacing w:after="0"/>
        <w:ind w:firstLine="240"/>
      </w:pPr>
      <w:bookmarkStart w:id="12" w:name="26"/>
      <w:bookmarkEnd w:id="11"/>
      <w:r>
        <w:rPr>
          <w:rFonts w:ascii="Arial"/>
          <w:color w:val="000000"/>
          <w:sz w:val="18"/>
        </w:rPr>
        <w:lastRenderedPageBreak/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>:</w:t>
      </w:r>
    </w:p>
    <w:p w:rsidR="00B75E20" w:rsidRDefault="0035034B">
      <w:pPr>
        <w:spacing w:after="0"/>
        <w:ind w:firstLine="240"/>
        <w:jc w:val="right"/>
      </w:pPr>
      <w:bookmarkStart w:id="13" w:name="29"/>
      <w:bookmarkEnd w:id="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332)</w:t>
      </w:r>
    </w:p>
    <w:p w:rsidR="00B75E20" w:rsidRDefault="0035034B">
      <w:pPr>
        <w:spacing w:after="0"/>
        <w:ind w:firstLine="240"/>
      </w:pPr>
      <w:bookmarkStart w:id="14" w:name="27"/>
      <w:bookmarkEnd w:id="13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12.01.2021 N 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13.01.2022 N 4,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75E20" w:rsidRDefault="0035034B">
      <w:pPr>
        <w:spacing w:after="0"/>
        <w:ind w:firstLine="240"/>
        <w:jc w:val="right"/>
      </w:pPr>
      <w:bookmarkStart w:id="15" w:name="30"/>
      <w:bookmarkEnd w:id="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332,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153)</w:t>
      </w:r>
    </w:p>
    <w:p w:rsidR="00B75E20" w:rsidRDefault="0035034B">
      <w:pPr>
        <w:spacing w:after="0"/>
        <w:ind w:firstLine="240"/>
      </w:pPr>
      <w:bookmarkStart w:id="16" w:name="28"/>
      <w:bookmarkEnd w:id="15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09.07.2020 N 346,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20.01.2022 N 20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346",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10.02.2022 N 97,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  <w:jc w:val="right"/>
      </w:pPr>
      <w:bookmarkStart w:id="17" w:name="31"/>
      <w:bookmarkEnd w:id="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153)</w:t>
      </w:r>
    </w:p>
    <w:p w:rsidR="00B75E20" w:rsidRDefault="0035034B">
      <w:pPr>
        <w:spacing w:after="0"/>
        <w:ind w:firstLine="240"/>
      </w:pPr>
      <w:bookmarkStart w:id="18" w:name="42"/>
      <w:bookmarkEnd w:id="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  <w:jc w:val="right"/>
      </w:pPr>
      <w:bookmarkStart w:id="19" w:name="50"/>
      <w:bookmarkEnd w:id="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1055)</w:t>
      </w:r>
    </w:p>
    <w:p w:rsidR="00B75E20" w:rsidRDefault="0035034B">
      <w:pPr>
        <w:spacing w:after="0"/>
        <w:ind w:firstLine="240"/>
      </w:pPr>
      <w:bookmarkStart w:id="20" w:name="43"/>
      <w:bookmarkEnd w:id="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B75E20" w:rsidRDefault="0035034B">
      <w:pPr>
        <w:spacing w:after="0"/>
        <w:ind w:firstLine="240"/>
      </w:pPr>
      <w:bookmarkStart w:id="21" w:name="44"/>
      <w:bookmarkEnd w:id="20"/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грудень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серпень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75E20" w:rsidRDefault="0035034B">
      <w:pPr>
        <w:spacing w:after="0"/>
        <w:ind w:firstLine="240"/>
      </w:pPr>
      <w:bookmarkStart w:id="22" w:name="45"/>
      <w:bookmarkEnd w:id="21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</w:pPr>
      <w:bookmarkStart w:id="23" w:name="46"/>
      <w:bookmarkEnd w:id="2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</w:pPr>
      <w:bookmarkStart w:id="24" w:name="47"/>
      <w:bookmarkEnd w:id="23"/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5E20" w:rsidRDefault="0035034B">
      <w:pPr>
        <w:spacing w:after="0"/>
        <w:ind w:firstLine="240"/>
      </w:pPr>
      <w:bookmarkStart w:id="25" w:name="48"/>
      <w:bookmarkEnd w:id="2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75E20" w:rsidRDefault="0035034B">
      <w:pPr>
        <w:spacing w:after="0"/>
        <w:ind w:firstLine="240"/>
      </w:pPr>
      <w:bookmarkStart w:id="26" w:name="49"/>
      <w:bookmarkEnd w:id="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  <w:jc w:val="right"/>
      </w:pPr>
      <w:bookmarkStart w:id="27" w:name="51"/>
      <w:bookmarkEnd w:id="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1055)</w:t>
      </w:r>
    </w:p>
    <w:p w:rsidR="00B75E20" w:rsidRDefault="0035034B">
      <w:pPr>
        <w:spacing w:after="0"/>
        <w:ind w:firstLine="240"/>
      </w:pPr>
      <w:bookmarkStart w:id="28" w:name="33"/>
      <w:bookmarkEnd w:id="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20.01.2022 N 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23.02.2022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252/37588,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B75E20" w:rsidRDefault="0035034B">
      <w:pPr>
        <w:spacing w:after="0"/>
        <w:ind w:firstLine="240"/>
      </w:pPr>
      <w:bookmarkStart w:id="29" w:name="34"/>
      <w:bookmarkEnd w:id="28"/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квартали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75E20" w:rsidRDefault="0035034B">
      <w:pPr>
        <w:spacing w:after="0"/>
        <w:ind w:firstLine="240"/>
      </w:pPr>
      <w:bookmarkStart w:id="30" w:name="35"/>
      <w:bookmarkEnd w:id="29"/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  <w:jc w:val="right"/>
      </w:pPr>
      <w:bookmarkStart w:id="31" w:name="36"/>
      <w:bookmarkEnd w:id="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5 - 7 </w:t>
      </w:r>
      <w:r>
        <w:rPr>
          <w:rFonts w:ascii="Arial"/>
          <w:color w:val="000000"/>
          <w:sz w:val="18"/>
        </w:rPr>
        <w:t>уважати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6 - 8)</w:t>
      </w:r>
    </w:p>
    <w:p w:rsidR="00B75E20" w:rsidRDefault="0035034B">
      <w:pPr>
        <w:spacing w:after="0"/>
        <w:ind w:firstLine="240"/>
      </w:pPr>
      <w:bookmarkStart w:id="32" w:name="217"/>
      <w:bookmarkEnd w:id="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>:</w:t>
      </w:r>
    </w:p>
    <w:p w:rsidR="00B75E20" w:rsidRDefault="0035034B">
      <w:pPr>
        <w:spacing w:after="0"/>
        <w:ind w:firstLine="240"/>
        <w:jc w:val="right"/>
      </w:pPr>
      <w:bookmarkStart w:id="33" w:name="132"/>
      <w:bookmarkEnd w:id="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153)</w:t>
      </w:r>
    </w:p>
    <w:p w:rsidR="00B75E20" w:rsidRDefault="0035034B">
      <w:pPr>
        <w:spacing w:after="0"/>
        <w:ind w:firstLine="240"/>
      </w:pPr>
      <w:bookmarkStart w:id="34" w:name="218"/>
      <w:bookmarkEnd w:id="33"/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75E20" w:rsidRDefault="0035034B">
      <w:pPr>
        <w:spacing w:after="0"/>
        <w:ind w:firstLine="240"/>
        <w:jc w:val="right"/>
      </w:pPr>
      <w:bookmarkStart w:id="35" w:name="222"/>
      <w:bookmarkEnd w:id="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153)</w:t>
      </w:r>
    </w:p>
    <w:p w:rsidR="00B75E20" w:rsidRDefault="0035034B">
      <w:pPr>
        <w:spacing w:after="0"/>
        <w:ind w:firstLine="240"/>
      </w:pPr>
      <w:bookmarkStart w:id="36" w:name="219"/>
      <w:bookmarkEnd w:id="35"/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  <w:jc w:val="right"/>
      </w:pPr>
      <w:bookmarkStart w:id="37" w:name="133"/>
      <w:bookmarkEnd w:id="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153)</w:t>
      </w:r>
    </w:p>
    <w:p w:rsidR="00B75E20" w:rsidRDefault="0035034B">
      <w:pPr>
        <w:spacing w:after="0"/>
        <w:ind w:firstLine="240"/>
      </w:pPr>
      <w:bookmarkStart w:id="38" w:name="63"/>
      <w:bookmarkEnd w:id="37"/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</w:t>
      </w:r>
      <w:r>
        <w:rPr>
          <w:rFonts w:ascii="Arial"/>
          <w:color w:val="000000"/>
          <w:sz w:val="18"/>
        </w:rPr>
        <w:t>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</w:pPr>
      <w:bookmarkStart w:id="39" w:name="64"/>
      <w:bookmarkEnd w:id="3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</w:pPr>
      <w:bookmarkStart w:id="40" w:name="65"/>
      <w:bookmarkEnd w:id="39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XML </w:t>
      </w:r>
      <w:r>
        <w:rPr>
          <w:rFonts w:ascii="Arial"/>
          <w:color w:val="000000"/>
          <w:sz w:val="18"/>
        </w:rPr>
        <w:t>файлів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  <w:jc w:val="right"/>
      </w:pPr>
      <w:bookmarkStart w:id="41" w:name="69"/>
      <w:bookmarkEnd w:id="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1140)</w:t>
      </w:r>
    </w:p>
    <w:p w:rsidR="00B75E20" w:rsidRDefault="0035034B">
      <w:pPr>
        <w:spacing w:after="0"/>
        <w:ind w:firstLine="240"/>
      </w:pPr>
      <w:bookmarkStart w:id="42" w:name="17"/>
      <w:bookmarkEnd w:id="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</w:pPr>
      <w:bookmarkStart w:id="43" w:name="18"/>
      <w:bookmarkEnd w:id="4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B75E20" w:rsidRDefault="0035034B">
      <w:pPr>
        <w:spacing w:after="0"/>
        <w:ind w:firstLine="240"/>
      </w:pPr>
      <w:bookmarkStart w:id="44" w:name="19"/>
      <w:bookmarkEnd w:id="4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0"/>
        <w:gridCol w:w="4633"/>
      </w:tblGrid>
      <w:tr w:rsidR="00B75E2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75E20" w:rsidRDefault="0035034B">
            <w:pPr>
              <w:spacing w:after="0"/>
              <w:jc w:val="center"/>
            </w:pPr>
            <w:bookmarkStart w:id="45" w:name="20"/>
            <w:bookmarkEnd w:id="44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center"/>
          </w:tcPr>
          <w:p w:rsidR="00B75E20" w:rsidRDefault="0035034B">
            <w:pPr>
              <w:spacing w:after="0"/>
              <w:jc w:val="center"/>
            </w:pPr>
            <w:bookmarkStart w:id="46" w:name="21"/>
            <w:bookmarkEnd w:id="45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46"/>
      </w:tr>
    </w:tbl>
    <w:p w:rsidR="00B75E20" w:rsidRDefault="0035034B">
      <w:r>
        <w:br/>
      </w:r>
    </w:p>
    <w:p w:rsidR="00B75E20" w:rsidRDefault="0035034B">
      <w:pPr>
        <w:spacing w:after="0"/>
        <w:ind w:firstLine="240"/>
      </w:pPr>
      <w:bookmarkStart w:id="47" w:name="22"/>
      <w:r>
        <w:rPr>
          <w:rFonts w:ascii="Arial"/>
          <w:color w:val="000000"/>
          <w:sz w:val="18"/>
        </w:rPr>
        <w:t xml:space="preserve"> </w:t>
      </w:r>
    </w:p>
    <w:p w:rsidR="00B75E20" w:rsidRDefault="0035034B">
      <w:pPr>
        <w:spacing w:after="0"/>
        <w:ind w:firstLine="240"/>
        <w:jc w:val="right"/>
      </w:pPr>
      <w:bookmarkStart w:id="48" w:name="23"/>
      <w:bookmarkEnd w:id="47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</w:t>
      </w:r>
    </w:p>
    <w:p w:rsidR="00B75E20" w:rsidRDefault="0035034B">
      <w:pPr>
        <w:spacing w:after="0"/>
        <w:ind w:firstLine="240"/>
      </w:pPr>
      <w:bookmarkStart w:id="49" w:name="99"/>
      <w:bookmarkEnd w:id="48"/>
      <w:r>
        <w:rPr>
          <w:rFonts w:ascii="Arial"/>
          <w:color w:val="000000"/>
          <w:sz w:val="18"/>
        </w:rPr>
        <w:t xml:space="preserve"> </w:t>
      </w:r>
    </w:p>
    <w:p w:rsidR="00B75E20" w:rsidRDefault="0035034B">
      <w:pPr>
        <w:spacing w:after="0"/>
        <w:ind w:firstLine="240"/>
        <w:jc w:val="right"/>
      </w:pPr>
      <w:bookmarkStart w:id="50" w:name="134"/>
      <w:bookmarkEnd w:id="49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lastRenderedPageBreak/>
        <w:t>23.04.2022 N 314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13.10.2022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1250)</w:t>
      </w:r>
    </w:p>
    <w:p w:rsidR="00B75E20" w:rsidRDefault="0035034B">
      <w:pPr>
        <w:pStyle w:val="3"/>
        <w:spacing w:after="0"/>
        <w:jc w:val="center"/>
      </w:pPr>
      <w:bookmarkStart w:id="51" w:name="135"/>
      <w:bookmarkEnd w:id="50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vertAlign w:val="superscript"/>
        </w:rPr>
        <w:t>1</w:t>
      </w:r>
    </w:p>
    <w:p w:rsidR="00B75E20" w:rsidRDefault="0035034B">
      <w:pPr>
        <w:spacing w:after="0"/>
        <w:ind w:firstLine="240"/>
        <w:jc w:val="right"/>
      </w:pPr>
      <w:bookmarkStart w:id="52" w:name="136"/>
      <w:bookmarkEnd w:id="51"/>
      <w:r>
        <w:rPr>
          <w:rFonts w:ascii="Arial"/>
          <w:i/>
          <w:color w:val="000000"/>
          <w:sz w:val="18"/>
        </w:rPr>
        <w:t>Таблиця</w:t>
      </w:r>
      <w:r>
        <w:rPr>
          <w:rFonts w:ascii="Arial"/>
          <w:i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9"/>
        <w:gridCol w:w="8559"/>
      </w:tblGrid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53" w:name="137"/>
            <w:bookmarkEnd w:id="5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54" w:name="138"/>
            <w:bookmarkEnd w:id="53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54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55" w:name="13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56" w:name="140"/>
            <w:bookmarkEnd w:id="5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професійний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6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57" w:name="14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58" w:name="142"/>
            <w:bookmarkEnd w:id="5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</w:p>
        </w:tc>
        <w:bookmarkEnd w:id="58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59" w:name="14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60" w:name="144"/>
            <w:bookmarkEnd w:id="59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60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61" w:name="1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62" w:name="146"/>
            <w:bookmarkEnd w:id="61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62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63" w:name="14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64" w:name="148"/>
            <w:bookmarkEnd w:id="6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</w:p>
        </w:tc>
        <w:bookmarkEnd w:id="64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65" w:name="14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66" w:name="150"/>
            <w:bookmarkEnd w:id="65"/>
            <w:r>
              <w:rPr>
                <w:rFonts w:ascii="Arial"/>
                <w:color w:val="000000"/>
                <w:sz w:val="15"/>
              </w:rPr>
              <w:t>Норматив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активів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66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67" w:name="1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68" w:name="152"/>
            <w:bookmarkEnd w:id="67"/>
            <w:r>
              <w:rPr>
                <w:rFonts w:ascii="Arial"/>
                <w:color w:val="000000"/>
                <w:sz w:val="15"/>
              </w:rPr>
              <w:t>Грошові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запроваджено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68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69" w:name="15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70" w:name="154"/>
            <w:bookmarkEnd w:id="69"/>
            <w:r>
              <w:rPr>
                <w:rFonts w:ascii="Arial"/>
                <w:color w:val="000000"/>
                <w:sz w:val="15"/>
              </w:rPr>
              <w:t>Облігації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належать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учаснику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обліковуються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його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рахунках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паперах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70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71" w:name="155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72" w:name="156"/>
            <w:bookmarkEnd w:id="71"/>
            <w:r>
              <w:rPr>
                <w:rFonts w:ascii="Arial"/>
                <w:color w:val="000000"/>
                <w:sz w:val="15"/>
              </w:rPr>
              <w:t>Облігації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належать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учаснику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обліковуються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його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рахунках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паперах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72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73" w:name="157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74" w:name="158"/>
            <w:bookmarkEnd w:id="73"/>
            <w:r>
              <w:rPr>
                <w:rFonts w:ascii="Arial"/>
                <w:b/>
                <w:color w:val="000000"/>
                <w:sz w:val="15"/>
              </w:rPr>
              <w:t>Іноземні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папери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зараховані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рахунки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паперах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депозитарії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допущені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обігу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території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належать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учаснику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обліковуються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його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рахунках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паперах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</w:p>
        </w:tc>
        <w:bookmarkEnd w:id="74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75" w:name="159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76" w:name="160"/>
            <w:bookmarkEnd w:id="75"/>
            <w:r>
              <w:rPr>
                <w:rFonts w:ascii="Arial"/>
                <w:b/>
                <w:color w:val="000000"/>
                <w:sz w:val="15"/>
              </w:rPr>
              <w:t>Інвестиційні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сертифікати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відкритих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грошового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належать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учаснику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обліковуються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його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рахунках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паперах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</w:p>
        </w:tc>
        <w:bookmarkEnd w:id="76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77" w:name="16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78" w:name="162"/>
            <w:bookmarkEnd w:id="77"/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довгострокових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78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79" w:name="163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80" w:name="164"/>
            <w:bookmarkEnd w:id="79"/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</w:t>
            </w:r>
            <w:r>
              <w:rPr>
                <w:rFonts w:ascii="Arial"/>
                <w:color w:val="000000"/>
                <w:sz w:val="15"/>
              </w:rPr>
              <w:t>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80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81" w:name="165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82" w:name="166"/>
            <w:bookmarkEnd w:id="81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82"/>
      </w:tr>
    </w:tbl>
    <w:p w:rsidR="00B75E20" w:rsidRDefault="0035034B">
      <w:r>
        <w:br/>
      </w:r>
    </w:p>
    <w:p w:rsidR="00B75E20" w:rsidRDefault="0035034B">
      <w:pPr>
        <w:spacing w:after="0"/>
        <w:ind w:firstLine="240"/>
      </w:pPr>
      <w:bookmarkStart w:id="83" w:name="167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останній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день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звітного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місяця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таблиці</w:t>
      </w:r>
      <w:r>
        <w:rPr>
          <w:rFonts w:ascii="Arial"/>
          <w:color w:val="000000"/>
          <w:sz w:val="15"/>
        </w:rPr>
        <w:t xml:space="preserve"> 1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таблиц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2 </w:t>
      </w:r>
      <w:r>
        <w:rPr>
          <w:rFonts w:ascii="Arial"/>
          <w:color w:val="000000"/>
          <w:sz w:val="15"/>
        </w:rPr>
        <w:t>заповнюються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день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інвестиційною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фірмою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компанією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управління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активами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депозитарною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установою</w:t>
      </w:r>
      <w:r>
        <w:rPr>
          <w:rFonts w:ascii="Arial"/>
          <w:color w:val="000000"/>
          <w:sz w:val="15"/>
        </w:rPr>
        <w:t xml:space="preserve">, -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кожен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день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розраховане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значення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нормативу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ліквідності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активів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меншим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встановленого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НКЦПФР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його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нормат</w:t>
      </w:r>
      <w:r>
        <w:rPr>
          <w:rFonts w:ascii="Arial"/>
          <w:color w:val="000000"/>
          <w:sz w:val="15"/>
        </w:rPr>
        <w:t>ивного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значення</w:t>
      </w:r>
      <w:r>
        <w:rPr>
          <w:rFonts w:ascii="Arial"/>
          <w:color w:val="000000"/>
          <w:sz w:val="15"/>
        </w:rPr>
        <w:t>.</w:t>
      </w:r>
    </w:p>
    <w:p w:rsidR="00B75E20" w:rsidRDefault="0035034B">
      <w:pPr>
        <w:spacing w:after="0"/>
        <w:ind w:firstLine="240"/>
      </w:pPr>
      <w:bookmarkStart w:id="84" w:name="168"/>
      <w:bookmarkEnd w:id="83"/>
      <w:r>
        <w:rPr>
          <w:rFonts w:ascii="Arial"/>
          <w:color w:val="000000"/>
          <w:vertAlign w:val="superscript"/>
        </w:rPr>
        <w:t xml:space="preserve">2 </w:t>
      </w:r>
      <w:r>
        <w:rPr>
          <w:rFonts w:ascii="Arial"/>
          <w:color w:val="000000"/>
          <w:sz w:val="15"/>
        </w:rPr>
        <w:t>Зазначається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округленням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чотирьох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знаків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після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коми</w:t>
      </w:r>
      <w:r>
        <w:rPr>
          <w:rFonts w:ascii="Arial"/>
          <w:color w:val="000000"/>
          <w:sz w:val="15"/>
        </w:rPr>
        <w:t>.</w:t>
      </w:r>
    </w:p>
    <w:p w:rsidR="00B75E20" w:rsidRDefault="0035034B">
      <w:pPr>
        <w:spacing w:after="0"/>
        <w:jc w:val="center"/>
      </w:pPr>
      <w:bookmarkStart w:id="85" w:name="169"/>
      <w:bookmarkEnd w:id="84"/>
      <w:r>
        <w:rPr>
          <w:rFonts w:ascii="Arial"/>
          <w:b/>
          <w:color w:val="000000"/>
          <w:sz w:val="18"/>
        </w:rPr>
        <w:t>Перелік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цінних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паперів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включених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розрахунку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нормативу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ліквідності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активів</w:t>
      </w:r>
    </w:p>
    <w:p w:rsidR="00B75E20" w:rsidRDefault="0035034B">
      <w:pPr>
        <w:spacing w:after="0"/>
        <w:ind w:firstLine="240"/>
        <w:jc w:val="right"/>
      </w:pPr>
      <w:bookmarkStart w:id="86" w:name="170"/>
      <w:bookmarkEnd w:id="85"/>
      <w:r>
        <w:rPr>
          <w:rFonts w:ascii="Arial"/>
          <w:i/>
          <w:color w:val="000000"/>
          <w:sz w:val="18"/>
        </w:rPr>
        <w:t>Таблиця</w:t>
      </w:r>
      <w:r>
        <w:rPr>
          <w:rFonts w:ascii="Arial"/>
          <w:i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9"/>
        <w:gridCol w:w="8559"/>
      </w:tblGrid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87" w:name="171"/>
            <w:bookmarkEnd w:id="8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88" w:name="172"/>
            <w:bookmarkEnd w:id="87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88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89" w:name="17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90" w:name="174"/>
            <w:bookmarkEnd w:id="8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професійний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0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91" w:name="17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92" w:name="176"/>
            <w:bookmarkEnd w:id="9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</w:p>
        </w:tc>
        <w:bookmarkEnd w:id="92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93" w:name="17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94" w:name="178"/>
            <w:bookmarkEnd w:id="93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94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95" w:name="17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96" w:name="180"/>
            <w:bookmarkEnd w:id="95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96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97" w:name="18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98" w:name="182"/>
            <w:bookmarkEnd w:id="9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</w:p>
        </w:tc>
        <w:bookmarkEnd w:id="98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99" w:name="18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00" w:name="184"/>
            <w:bookmarkEnd w:id="99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папера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bookmarkEnd w:id="100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01" w:name="18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02" w:name="186"/>
            <w:bookmarkEnd w:id="10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емітента</w:t>
            </w:r>
          </w:p>
        </w:tc>
        <w:bookmarkEnd w:id="102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03" w:name="18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04" w:name="188"/>
            <w:bookmarkEnd w:id="10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емітента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резидента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емітент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нерезидент</w:t>
            </w:r>
          </w:p>
        </w:tc>
        <w:bookmarkEnd w:id="104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05" w:name="18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06" w:name="190"/>
            <w:bookmarkEnd w:id="10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ЄДРІСІ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сертифікатів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відкритих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грошового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07" w:name="19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08" w:name="192"/>
            <w:bookmarkEnd w:id="107"/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емітента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108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09" w:name="19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10" w:name="194"/>
            <w:bookmarkEnd w:id="109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LEI) </w:t>
            </w:r>
            <w:r>
              <w:rPr>
                <w:rFonts w:ascii="Arial"/>
                <w:color w:val="000000"/>
                <w:sz w:val="15"/>
              </w:rPr>
              <w:t>емітента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0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11" w:name="19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12" w:name="196"/>
            <w:bookmarkEnd w:id="111"/>
            <w:r>
              <w:rPr>
                <w:rFonts w:ascii="Arial"/>
                <w:color w:val="000000"/>
                <w:sz w:val="15"/>
              </w:rPr>
              <w:t>Міжнародний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папера</w:t>
            </w:r>
          </w:p>
        </w:tc>
        <w:bookmarkEnd w:id="112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13" w:name="19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14" w:name="198"/>
            <w:bookmarkEnd w:id="11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14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15" w:name="19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16" w:name="200"/>
            <w:bookmarkEnd w:id="115"/>
            <w:r>
              <w:rPr>
                <w:rFonts w:ascii="Arial"/>
                <w:color w:val="000000"/>
                <w:sz w:val="15"/>
              </w:rPr>
              <w:t>Номінальна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номіналу</w:t>
            </w:r>
          </w:p>
        </w:tc>
        <w:bookmarkEnd w:id="116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17" w:name="20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18" w:name="202"/>
            <w:bookmarkEnd w:id="117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валюти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bookmarkEnd w:id="118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19" w:name="203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20" w:name="204"/>
            <w:bookmarkEnd w:id="119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20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21" w:name="205"/>
            <w:r>
              <w:rPr>
                <w:rFonts w:ascii="Arial"/>
                <w:color w:val="000000"/>
                <w:sz w:val="15"/>
              </w:rPr>
              <w:lastRenderedPageBreak/>
              <w:t>17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22" w:name="206"/>
            <w:bookmarkEnd w:id="121"/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інструментів</w:t>
            </w:r>
            <w:r>
              <w:rPr>
                <w:rFonts w:ascii="Arial"/>
                <w:color w:val="000000"/>
                <w:vertAlign w:val="super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122"/>
      </w:tr>
      <w:tr w:rsidR="00B75E2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  <w:jc w:val="center"/>
            </w:pPr>
            <w:bookmarkStart w:id="123" w:name="20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5E20" w:rsidRDefault="0035034B">
            <w:pPr>
              <w:spacing w:after="0"/>
            </w:pPr>
            <w:bookmarkStart w:id="124" w:name="208"/>
            <w:bookmarkEnd w:id="123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24"/>
      </w:tr>
    </w:tbl>
    <w:p w:rsidR="00B75E20" w:rsidRDefault="0035034B">
      <w:r>
        <w:br/>
      </w:r>
    </w:p>
    <w:p w:rsidR="00B75E20" w:rsidRDefault="0035034B">
      <w:pPr>
        <w:spacing w:after="0"/>
        <w:ind w:firstLine="240"/>
      </w:pPr>
      <w:bookmarkStart w:id="125" w:name="209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Заповнюється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Довідника</w:t>
      </w:r>
      <w:r>
        <w:rPr>
          <w:rFonts w:ascii="Arial"/>
          <w:color w:val="000000"/>
          <w:sz w:val="15"/>
        </w:rPr>
        <w:t xml:space="preserve"> 6 "</w:t>
      </w:r>
      <w:r>
        <w:rPr>
          <w:rFonts w:ascii="Arial"/>
          <w:color w:val="000000"/>
          <w:sz w:val="15"/>
        </w:rPr>
        <w:t>Класифікація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фінансових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інструментів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підгрупами</w:t>
      </w:r>
      <w:r>
        <w:rPr>
          <w:rFonts w:ascii="Arial"/>
          <w:color w:val="000000"/>
          <w:sz w:val="15"/>
        </w:rPr>
        <w:t xml:space="preserve">" </w:t>
      </w:r>
      <w:r>
        <w:rPr>
          <w:rFonts w:ascii="Arial"/>
          <w:color w:val="000000"/>
          <w:sz w:val="15"/>
        </w:rPr>
        <w:t>Системи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довідників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класифікаторів</w:t>
      </w:r>
      <w:r>
        <w:rPr>
          <w:rFonts w:ascii="Arial"/>
          <w:color w:val="000000"/>
          <w:sz w:val="15"/>
        </w:rPr>
        <w:t>.</w:t>
      </w:r>
    </w:p>
    <w:p w:rsidR="00B75E20" w:rsidRDefault="0035034B">
      <w:pPr>
        <w:spacing w:after="0"/>
        <w:ind w:firstLine="240"/>
      </w:pPr>
      <w:bookmarkStart w:id="126" w:name="210"/>
      <w:bookmarkEnd w:id="125"/>
      <w:r>
        <w:rPr>
          <w:rFonts w:ascii="Arial"/>
          <w:color w:val="000000"/>
          <w:vertAlign w:val="superscript"/>
        </w:rPr>
        <w:t xml:space="preserve">2 </w:t>
      </w:r>
      <w:r>
        <w:rPr>
          <w:rFonts w:ascii="Arial"/>
          <w:color w:val="000000"/>
          <w:sz w:val="15"/>
        </w:rPr>
        <w:t>Заповнюється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vertAlign w:val="superscript"/>
        </w:rPr>
        <w:t xml:space="preserve"> </w:t>
      </w:r>
      <w:r>
        <w:rPr>
          <w:rFonts w:ascii="Arial"/>
          <w:color w:val="000000"/>
          <w:sz w:val="15"/>
        </w:rPr>
        <w:t>Довідника</w:t>
      </w:r>
      <w:r>
        <w:rPr>
          <w:rFonts w:ascii="Arial"/>
          <w:color w:val="000000"/>
          <w:sz w:val="15"/>
        </w:rPr>
        <w:t xml:space="preserve"> 45 "</w:t>
      </w:r>
      <w:r>
        <w:rPr>
          <w:rFonts w:ascii="Arial"/>
          <w:color w:val="000000"/>
          <w:sz w:val="15"/>
        </w:rPr>
        <w:t>Класифікація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країн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світу</w:t>
      </w:r>
      <w:r>
        <w:rPr>
          <w:rFonts w:ascii="Arial"/>
          <w:color w:val="000000"/>
          <w:sz w:val="15"/>
        </w:rPr>
        <w:t xml:space="preserve">" </w:t>
      </w:r>
      <w:r>
        <w:rPr>
          <w:rFonts w:ascii="Arial"/>
          <w:color w:val="000000"/>
          <w:sz w:val="15"/>
        </w:rPr>
        <w:t>Системи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довідників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класифікаторів</w:t>
      </w:r>
      <w:r>
        <w:rPr>
          <w:rFonts w:ascii="Arial"/>
          <w:color w:val="000000"/>
          <w:sz w:val="15"/>
        </w:rPr>
        <w:t>.</w:t>
      </w:r>
    </w:p>
    <w:p w:rsidR="00B75E20" w:rsidRDefault="0035034B">
      <w:pPr>
        <w:spacing w:after="0"/>
        <w:ind w:firstLine="240"/>
      </w:pPr>
      <w:bookmarkStart w:id="127" w:name="211"/>
      <w:bookmarkEnd w:id="126"/>
      <w:r>
        <w:rPr>
          <w:rFonts w:ascii="Arial"/>
          <w:color w:val="000000"/>
          <w:vertAlign w:val="superscript"/>
        </w:rPr>
        <w:t xml:space="preserve">3 </w:t>
      </w:r>
      <w:r>
        <w:rPr>
          <w:rFonts w:ascii="Arial"/>
          <w:color w:val="000000"/>
          <w:sz w:val="15"/>
        </w:rPr>
        <w:t>Заповнюється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vertAlign w:val="superscript"/>
        </w:rPr>
        <w:t xml:space="preserve"> </w:t>
      </w:r>
      <w:r>
        <w:rPr>
          <w:rFonts w:ascii="Arial"/>
          <w:color w:val="000000"/>
          <w:sz w:val="15"/>
        </w:rPr>
        <w:t>Довідника</w:t>
      </w:r>
      <w:r>
        <w:rPr>
          <w:rFonts w:ascii="Arial"/>
          <w:color w:val="000000"/>
          <w:sz w:val="15"/>
        </w:rPr>
        <w:t xml:space="preserve"> 46 "</w:t>
      </w:r>
      <w:r>
        <w:rPr>
          <w:rFonts w:ascii="Arial"/>
          <w:color w:val="000000"/>
          <w:sz w:val="15"/>
        </w:rPr>
        <w:t>Перелік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коди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валют</w:t>
      </w:r>
      <w:r>
        <w:rPr>
          <w:rFonts w:ascii="Arial"/>
          <w:color w:val="000000"/>
          <w:sz w:val="15"/>
        </w:rPr>
        <w:t xml:space="preserve">" </w:t>
      </w:r>
      <w:r>
        <w:rPr>
          <w:rFonts w:ascii="Arial"/>
          <w:color w:val="000000"/>
          <w:sz w:val="15"/>
        </w:rPr>
        <w:t>Системи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довідників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класифікаторів</w:t>
      </w:r>
      <w:r>
        <w:rPr>
          <w:rFonts w:ascii="Arial"/>
          <w:color w:val="000000"/>
          <w:sz w:val="15"/>
        </w:rPr>
        <w:t>.</w:t>
      </w:r>
    </w:p>
    <w:p w:rsidR="00B75E20" w:rsidRDefault="0035034B">
      <w:pPr>
        <w:spacing w:after="0"/>
        <w:ind w:firstLine="240"/>
      </w:pPr>
      <w:bookmarkStart w:id="128" w:name="212"/>
      <w:bookmarkEnd w:id="127"/>
      <w:r>
        <w:rPr>
          <w:rFonts w:ascii="Arial"/>
          <w:color w:val="000000"/>
          <w:vertAlign w:val="superscript"/>
        </w:rPr>
        <w:t xml:space="preserve">4 </w:t>
      </w:r>
      <w:r>
        <w:rPr>
          <w:rFonts w:ascii="Arial"/>
          <w:color w:val="000000"/>
          <w:sz w:val="15"/>
        </w:rPr>
        <w:t>Зазначається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округленням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чотирьох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знаків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після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коми</w:t>
      </w:r>
      <w:r>
        <w:rPr>
          <w:rFonts w:ascii="Arial"/>
          <w:color w:val="000000"/>
          <w:sz w:val="15"/>
        </w:rPr>
        <w:t>.</w:t>
      </w:r>
    </w:p>
    <w:p w:rsidR="00B75E20" w:rsidRDefault="0035034B">
      <w:pPr>
        <w:spacing w:after="0"/>
        <w:ind w:firstLine="240"/>
        <w:jc w:val="right"/>
      </w:pPr>
      <w:bookmarkStart w:id="129" w:name="129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1140,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1250)</w:t>
      </w:r>
    </w:p>
    <w:p w:rsidR="00B75E20" w:rsidRDefault="0035034B">
      <w:pPr>
        <w:spacing w:after="0"/>
        <w:jc w:val="center"/>
      </w:pPr>
      <w:bookmarkStart w:id="130" w:name="128"/>
      <w:bookmarkEnd w:id="129"/>
      <w:r>
        <w:rPr>
          <w:rFonts w:ascii="Arial"/>
          <w:color w:val="000000"/>
          <w:sz w:val="18"/>
        </w:rPr>
        <w:t>____________</w:t>
      </w:r>
    </w:p>
    <w:p w:rsidR="00B75E20" w:rsidRDefault="00B75E20">
      <w:pPr>
        <w:spacing w:after="0"/>
        <w:ind w:firstLine="240"/>
      </w:pPr>
      <w:bookmarkStart w:id="131" w:name="24"/>
      <w:bookmarkEnd w:id="130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B75E20">
        <w:trPr>
          <w:tblCellSpacing w:w="20" w:type="dxa"/>
        </w:trPr>
        <w:tc>
          <w:tcPr>
            <w:tcW w:w="8410" w:type="dxa"/>
            <w:vAlign w:val="center"/>
          </w:tcPr>
          <w:bookmarkEnd w:id="131"/>
          <w:p w:rsidR="00B75E20" w:rsidRDefault="0035034B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2023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2023</w:t>
            </w:r>
          </w:p>
        </w:tc>
        <w:tc>
          <w:tcPr>
            <w:tcW w:w="1240" w:type="dxa"/>
            <w:vAlign w:val="center"/>
          </w:tcPr>
          <w:p w:rsidR="00B75E20" w:rsidRDefault="0035034B">
            <w:pPr>
              <w:spacing w:after="0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E20" w:rsidRDefault="0035034B">
      <w:r>
        <w:br/>
      </w:r>
    </w:p>
    <w:sectPr w:rsidR="00B75E20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5E20"/>
    <w:rsid w:val="0035034B"/>
    <w:rsid w:val="00B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295B02-27C4-4BD8-843A-56CED1DA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9500</Words>
  <Characters>5416</Characters>
  <Application>Microsoft Office Word</Application>
  <DocSecurity>0</DocSecurity>
  <Lines>45</Lines>
  <Paragraphs>29</Paragraphs>
  <ScaleCrop>false</ScaleCrop>
  <Company/>
  <LinksUpToDate>false</LinksUpToDate>
  <CharactersWithSpaces>14887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gavrylyuk</cp:lastModifiedBy>
  <cp:revision>2</cp:revision>
  <dcterms:created xsi:type="dcterms:W3CDTF">2023-05-02T07:20:00Z</dcterms:created>
  <dcterms:modified xsi:type="dcterms:W3CDTF">2023-05-02T07:20:00Z</dcterms:modified>
</cp:coreProperties>
</file>