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1C65" w14:textId="77777777" w:rsidR="00FC15D8" w:rsidRDefault="000A2B8F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10764A59" wp14:editId="250EEAFC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3DCF" w14:textId="77777777" w:rsidR="00FC15D8" w:rsidRPr="000A2B8F" w:rsidRDefault="000A2B8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A2B8F">
        <w:rPr>
          <w:rFonts w:ascii="Arial"/>
          <w:color w:val="000000"/>
          <w:sz w:val="27"/>
          <w:lang w:val="ru-RU"/>
        </w:rPr>
        <w:t>НАЦІОНАЛЬНА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КОМІСІЯ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З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ЦІННИХ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ПАПЕРІВ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ТА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ФОНДОВОГО</w:t>
      </w:r>
      <w:r w:rsidRPr="000A2B8F">
        <w:rPr>
          <w:rFonts w:ascii="Arial"/>
          <w:color w:val="000000"/>
          <w:sz w:val="27"/>
          <w:lang w:val="ru-RU"/>
        </w:rPr>
        <w:t xml:space="preserve"> </w:t>
      </w:r>
      <w:r w:rsidRPr="000A2B8F">
        <w:rPr>
          <w:rFonts w:ascii="Arial"/>
          <w:color w:val="000000"/>
          <w:sz w:val="27"/>
          <w:lang w:val="ru-RU"/>
        </w:rPr>
        <w:t>РИНКУ</w:t>
      </w:r>
    </w:p>
    <w:p w14:paraId="44B7166D" w14:textId="77777777" w:rsidR="00FC15D8" w:rsidRDefault="000A2B8F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2"/>
        <w:gridCol w:w="2699"/>
        <w:gridCol w:w="3146"/>
      </w:tblGrid>
      <w:tr w:rsidR="00FC15D8" w14:paraId="502BBBE9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3EE4208D" w14:textId="77777777" w:rsidR="00FC15D8" w:rsidRDefault="000A2B8F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30.12.2021</w:t>
            </w:r>
          </w:p>
        </w:tc>
        <w:tc>
          <w:tcPr>
            <w:tcW w:w="2907" w:type="dxa"/>
            <w:vAlign w:val="center"/>
          </w:tcPr>
          <w:p w14:paraId="50C1899A" w14:textId="77777777" w:rsidR="00FC15D8" w:rsidRDefault="000A2B8F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14:paraId="2BC8C49E" w14:textId="77777777" w:rsidR="00FC15D8" w:rsidRDefault="000A2B8F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1290</w:t>
            </w:r>
          </w:p>
        </w:tc>
        <w:bookmarkEnd w:id="5"/>
      </w:tr>
    </w:tbl>
    <w:p w14:paraId="38D4C3AB" w14:textId="77777777" w:rsidR="00FC15D8" w:rsidRDefault="000A2B8F">
      <w:r>
        <w:br/>
      </w:r>
    </w:p>
    <w:p w14:paraId="556351C9" w14:textId="77777777" w:rsidR="00FC15D8" w:rsidRDefault="000A2B8F">
      <w:pPr>
        <w:spacing w:after="0"/>
        <w:jc w:val="center"/>
      </w:pPr>
      <w:bookmarkStart w:id="6" w:name="7"/>
      <w:r>
        <w:rPr>
          <w:rFonts w:ascii="Arial"/>
          <w:b/>
          <w:color w:val="000000"/>
          <w:sz w:val="18"/>
        </w:rPr>
        <w:t>Зареєстровано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юстиції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br/>
      </w:r>
      <w:r>
        <w:rPr>
          <w:rFonts w:ascii="Arial"/>
          <w:b/>
          <w:color w:val="000000"/>
          <w:sz w:val="18"/>
        </w:rPr>
        <w:t xml:space="preserve">28 </w:t>
      </w:r>
      <w:r>
        <w:rPr>
          <w:rFonts w:ascii="Arial"/>
          <w:b/>
          <w:color w:val="000000"/>
          <w:sz w:val="18"/>
        </w:rPr>
        <w:t>лютого</w:t>
      </w:r>
      <w:r>
        <w:rPr>
          <w:rFonts w:ascii="Arial"/>
          <w:b/>
          <w:color w:val="000000"/>
          <w:sz w:val="18"/>
        </w:rPr>
        <w:t xml:space="preserve"> 2022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N 267/37603</w:t>
      </w:r>
    </w:p>
    <w:p w14:paraId="5E455D9D" w14:textId="77777777" w:rsidR="00FC15D8" w:rsidRDefault="000A2B8F">
      <w:pPr>
        <w:pStyle w:val="2"/>
        <w:spacing w:after="0"/>
        <w:jc w:val="center"/>
      </w:pPr>
      <w:bookmarkStart w:id="7" w:name="8"/>
      <w:bookmarkEnd w:id="6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  <w:r>
        <w:rPr>
          <w:rFonts w:ascii="Arial"/>
          <w:color w:val="000000"/>
          <w:sz w:val="27"/>
        </w:rPr>
        <w:t xml:space="preserve"> N 3 "</w:t>
      </w:r>
      <w:r>
        <w:rPr>
          <w:rFonts w:ascii="Arial"/>
          <w:color w:val="000000"/>
          <w:sz w:val="27"/>
        </w:rPr>
        <w:t>Корпоративне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банками</w:t>
      </w:r>
      <w:r>
        <w:rPr>
          <w:rFonts w:ascii="Arial"/>
          <w:color w:val="000000"/>
          <w:sz w:val="27"/>
        </w:rPr>
        <w:t>"</w:t>
      </w:r>
    </w:p>
    <w:p w14:paraId="262548D2" w14:textId="77777777" w:rsidR="00FC15D8" w:rsidRDefault="000A2B8F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14:paraId="7F6772A2" w14:textId="77777777" w:rsidR="00FC15D8" w:rsidRDefault="000A2B8F">
      <w:pPr>
        <w:spacing w:after="0"/>
        <w:ind w:firstLine="240"/>
      </w:pPr>
      <w:bookmarkStart w:id="9" w:name="10"/>
      <w:bookmarkEnd w:id="8"/>
      <w:r>
        <w:rPr>
          <w:rFonts w:ascii="Arial"/>
          <w:b/>
          <w:color w:val="000000"/>
          <w:sz w:val="18"/>
        </w:rPr>
        <w:t>ВИРІШИЛА</w:t>
      </w:r>
      <w:r>
        <w:rPr>
          <w:rFonts w:ascii="Arial"/>
          <w:b/>
          <w:color w:val="000000"/>
          <w:sz w:val="18"/>
        </w:rPr>
        <w:t>:</w:t>
      </w:r>
    </w:p>
    <w:p w14:paraId="3EA5A298" w14:textId="77777777" w:rsidR="00FC15D8" w:rsidRDefault="000A2B8F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N 3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14:paraId="735B70DD" w14:textId="77777777" w:rsidR="00FC15D8" w:rsidRDefault="000A2B8F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1605D1B6" w14:textId="77777777" w:rsidR="00FC15D8" w:rsidRDefault="000A2B8F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14:paraId="784AFDAB" w14:textId="77777777" w:rsidR="00FC15D8" w:rsidRDefault="000A2B8F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14:paraId="6FF27F0E" w14:textId="77777777" w:rsidR="00FC15D8" w:rsidRDefault="000A2B8F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450138B1" w14:textId="77777777" w:rsidR="00FC15D8" w:rsidRDefault="000A2B8F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lastRenderedPageBreak/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14:paraId="5AE8BAD6" w14:textId="77777777" w:rsidR="00FC15D8" w:rsidRDefault="000A2B8F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14:paraId="2D548A18" w14:textId="77777777" w:rsidR="00FC15D8" w:rsidRDefault="000A2B8F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1F429935" w14:textId="77777777" w:rsidR="00FC15D8" w:rsidRDefault="000A2B8F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14:paraId="58FC3B9A" w14:textId="77777777" w:rsidR="00FC15D8" w:rsidRDefault="000A2B8F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Пересунько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14:paraId="5F87695F" w14:textId="77777777" w:rsidR="00FC15D8" w:rsidRDefault="000A2B8F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14:paraId="68E246F6" w14:textId="77777777" w:rsidR="00FC15D8" w:rsidRDefault="000A2B8F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4BC94952" w14:textId="77777777" w:rsidR="00FC15D8" w:rsidRDefault="000A2B8F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14:paraId="040EB598" w14:textId="77777777" w:rsidR="00FC15D8" w:rsidRDefault="000A2B8F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14:paraId="435943C9" w14:textId="77777777" w:rsidR="00FC15D8" w:rsidRDefault="000A2B8F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Лібанова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14:paraId="528A5F5E" w14:textId="77777777" w:rsidR="00FC15D8" w:rsidRDefault="000A2B8F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FC15D8" w14:paraId="4E4D84DE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217981D3" w14:textId="77777777" w:rsidR="00FC15D8" w:rsidRDefault="000A2B8F">
            <w:pPr>
              <w:spacing w:after="0"/>
              <w:jc w:val="center"/>
            </w:pPr>
            <w:bookmarkStart w:id="26" w:name="27"/>
            <w:bookmarkEnd w:id="25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14:paraId="4D764BFA" w14:textId="77777777" w:rsidR="00FC15D8" w:rsidRDefault="000A2B8F">
            <w:pPr>
              <w:spacing w:after="0"/>
              <w:jc w:val="center"/>
            </w:pPr>
            <w:bookmarkStart w:id="27" w:name="28"/>
            <w:bookmarkEnd w:id="26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7"/>
      </w:tr>
    </w:tbl>
    <w:p w14:paraId="0EEF2AB1" w14:textId="77777777" w:rsidR="00FC15D8" w:rsidRDefault="000A2B8F">
      <w:r>
        <w:br/>
      </w:r>
    </w:p>
    <w:p w14:paraId="08458D50" w14:textId="77777777" w:rsidR="00FC15D8" w:rsidRDefault="000A2B8F">
      <w:pPr>
        <w:spacing w:after="0"/>
        <w:ind w:firstLine="240"/>
      </w:pPr>
      <w:bookmarkStart w:id="28" w:name="29"/>
      <w:r>
        <w:rPr>
          <w:rFonts w:ascii="Arial"/>
          <w:color w:val="000000"/>
          <w:sz w:val="18"/>
        </w:rPr>
        <w:t xml:space="preserve"> </w:t>
      </w:r>
    </w:p>
    <w:p w14:paraId="6F4AF4B3" w14:textId="77777777" w:rsidR="00FC15D8" w:rsidRDefault="000A2B8F">
      <w:pPr>
        <w:spacing w:after="0"/>
        <w:ind w:firstLine="240"/>
        <w:jc w:val="right"/>
      </w:pPr>
      <w:bookmarkStart w:id="29" w:name="30"/>
      <w:bookmarkEnd w:id="28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</w:t>
      </w:r>
    </w:p>
    <w:p w14:paraId="299A7189" w14:textId="77777777" w:rsidR="00FC15D8" w:rsidRDefault="000A2B8F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 xml:space="preserve"> </w:t>
      </w:r>
    </w:p>
    <w:p w14:paraId="25026E03" w14:textId="77777777" w:rsidR="00FC15D8" w:rsidRDefault="000A2B8F">
      <w:pPr>
        <w:spacing w:after="0"/>
        <w:ind w:firstLine="240"/>
        <w:jc w:val="right"/>
      </w:pPr>
      <w:bookmarkStart w:id="31" w:name="32"/>
      <w:bookmarkEnd w:id="3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1290</w:t>
      </w:r>
    </w:p>
    <w:p w14:paraId="69432960" w14:textId="77777777" w:rsidR="00FC15D8" w:rsidRDefault="000A2B8F">
      <w:pPr>
        <w:pStyle w:val="3"/>
        <w:spacing w:after="0"/>
        <w:jc w:val="center"/>
      </w:pPr>
      <w:bookmarkStart w:id="32" w:name="33"/>
      <w:bookmarkEnd w:id="31"/>
      <w:r>
        <w:rPr>
          <w:rFonts w:ascii="Arial"/>
          <w:color w:val="000000"/>
          <w:sz w:val="27"/>
        </w:rPr>
        <w:lastRenderedPageBreak/>
        <w:t>СТАНДАРТ</w:t>
      </w:r>
      <w:r>
        <w:rPr>
          <w:rFonts w:ascii="Arial"/>
          <w:color w:val="000000"/>
          <w:sz w:val="27"/>
        </w:rPr>
        <w:t xml:space="preserve"> N 3</w:t>
      </w:r>
      <w:r>
        <w:br/>
      </w:r>
      <w:r>
        <w:rPr>
          <w:rFonts w:ascii="Arial"/>
          <w:color w:val="000000"/>
          <w:sz w:val="27"/>
        </w:rPr>
        <w:t>"</w:t>
      </w:r>
      <w:r>
        <w:rPr>
          <w:rFonts w:ascii="Arial"/>
          <w:color w:val="000000"/>
          <w:sz w:val="27"/>
        </w:rPr>
        <w:t>Корпоративне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банками</w:t>
      </w:r>
      <w:r>
        <w:rPr>
          <w:rFonts w:ascii="Arial"/>
          <w:color w:val="000000"/>
          <w:sz w:val="27"/>
        </w:rPr>
        <w:t>"</w:t>
      </w:r>
    </w:p>
    <w:p w14:paraId="5097423B" w14:textId="77777777" w:rsidR="00FC15D8" w:rsidRDefault="000A2B8F">
      <w:pPr>
        <w:pStyle w:val="3"/>
        <w:spacing w:after="0"/>
        <w:jc w:val="center"/>
      </w:pPr>
      <w:bookmarkStart w:id="33" w:name="34"/>
      <w:bookmarkEnd w:id="32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14:paraId="55D4C306" w14:textId="77777777" w:rsidR="00FC15D8" w:rsidRDefault="000A2B8F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5E4AA51B" w14:textId="77777777" w:rsidR="00FC15D8" w:rsidRDefault="000A2B8F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>.</w:t>
      </w:r>
    </w:p>
    <w:p w14:paraId="70ACD42C" w14:textId="77777777" w:rsidR="00FC15D8" w:rsidRDefault="000A2B8F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 xml:space="preserve"> N 1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N 1).</w:t>
      </w:r>
    </w:p>
    <w:p w14:paraId="3154943F" w14:textId="77777777" w:rsidR="00FC15D8" w:rsidRDefault="000A2B8F">
      <w:pPr>
        <w:pStyle w:val="3"/>
        <w:spacing w:after="0"/>
        <w:jc w:val="center"/>
      </w:pPr>
      <w:bookmarkStart w:id="37" w:name="38"/>
      <w:bookmarkEnd w:id="36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комітети</w:t>
      </w:r>
    </w:p>
    <w:p w14:paraId="14C7FCE5" w14:textId="77777777" w:rsidR="00FC15D8" w:rsidRDefault="000A2B8F">
      <w:pPr>
        <w:pStyle w:val="3"/>
        <w:spacing w:after="0"/>
        <w:jc w:val="center"/>
      </w:pPr>
      <w:bookmarkStart w:id="38" w:name="39"/>
      <w:bookmarkEnd w:id="37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14:paraId="573DA605" w14:textId="77777777" w:rsidR="00FC15D8" w:rsidRDefault="000A2B8F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14:paraId="7316FCEF" w14:textId="77777777" w:rsidR="00FC15D8" w:rsidRDefault="000A2B8F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14:paraId="53F244F9" w14:textId="77777777" w:rsidR="00FC15D8" w:rsidRDefault="000A2B8F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14:paraId="104CF0E2" w14:textId="77777777" w:rsidR="00FC15D8" w:rsidRDefault="000A2B8F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14:paraId="72C1BB35" w14:textId="77777777" w:rsidR="00FC15D8" w:rsidRDefault="000A2B8F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0D37C76F" w14:textId="77777777" w:rsidR="00FC15D8" w:rsidRDefault="000A2B8F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".</w:t>
      </w:r>
    </w:p>
    <w:p w14:paraId="2FEAA572" w14:textId="77777777" w:rsidR="00FC15D8" w:rsidRDefault="000A2B8F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:</w:t>
      </w:r>
    </w:p>
    <w:p w14:paraId="57D9E220" w14:textId="77777777" w:rsidR="00FC15D8" w:rsidRDefault="000A2B8F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>;</w:t>
      </w:r>
    </w:p>
    <w:p w14:paraId="5CC4CC0D" w14:textId="77777777" w:rsidR="00FC15D8" w:rsidRDefault="000A2B8F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04D4F42E" w14:textId="77777777" w:rsidR="00FC15D8" w:rsidRDefault="000A2B8F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>);</w:t>
      </w:r>
    </w:p>
    <w:p w14:paraId="78A839F0" w14:textId="77777777" w:rsidR="00FC15D8" w:rsidRDefault="000A2B8F">
      <w:pPr>
        <w:spacing w:after="0"/>
        <w:ind w:firstLine="240"/>
      </w:pPr>
      <w:bookmarkStart w:id="49" w:name="50"/>
      <w:bookmarkEnd w:id="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68C392FD" w14:textId="77777777" w:rsidR="00FC15D8" w:rsidRDefault="000A2B8F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31EAD5D8" w14:textId="77777777" w:rsidR="00FC15D8" w:rsidRDefault="000A2B8F">
      <w:pPr>
        <w:spacing w:after="0"/>
        <w:ind w:firstLine="240"/>
      </w:pPr>
      <w:bookmarkStart w:id="51" w:name="52"/>
      <w:bookmarkEnd w:id="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14:paraId="191A8275" w14:textId="77777777" w:rsidR="00FC15D8" w:rsidRDefault="000A2B8F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>;</w:t>
      </w:r>
    </w:p>
    <w:p w14:paraId="290B84D1" w14:textId="77777777" w:rsidR="00FC15D8" w:rsidRDefault="000A2B8F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;</w:t>
      </w:r>
    </w:p>
    <w:p w14:paraId="39F31640" w14:textId="77777777" w:rsidR="00FC15D8" w:rsidRDefault="000A2B8F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14:paraId="3DA9644D" w14:textId="77777777" w:rsidR="00FC15D8" w:rsidRDefault="000A2B8F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>;</w:t>
      </w:r>
    </w:p>
    <w:p w14:paraId="2679A9A7" w14:textId="77777777" w:rsidR="00FC15D8" w:rsidRDefault="000A2B8F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246E30AE" w14:textId="77777777" w:rsidR="00FC15D8" w:rsidRDefault="000A2B8F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324E41DA" w14:textId="77777777" w:rsidR="00FC15D8" w:rsidRDefault="000A2B8F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>;</w:t>
      </w:r>
    </w:p>
    <w:p w14:paraId="7F411C56" w14:textId="77777777" w:rsidR="00FC15D8" w:rsidRDefault="000A2B8F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7FE90EC4" w14:textId="77777777" w:rsidR="00FC15D8" w:rsidRDefault="000A2B8F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2AE87B67" w14:textId="77777777" w:rsidR="00FC15D8" w:rsidRDefault="000A2B8F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).</w:t>
      </w:r>
    </w:p>
    <w:p w14:paraId="33D2DE2F" w14:textId="77777777" w:rsidR="00FC15D8" w:rsidRDefault="000A2B8F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>:</w:t>
      </w:r>
    </w:p>
    <w:p w14:paraId="3BA27AA8" w14:textId="77777777" w:rsidR="00FC15D8" w:rsidRDefault="000A2B8F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);</w:t>
      </w:r>
    </w:p>
    <w:p w14:paraId="634840BE" w14:textId="77777777" w:rsidR="00FC15D8" w:rsidRDefault="000A2B8F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);</w:t>
      </w:r>
    </w:p>
    <w:p w14:paraId="65E89E53" w14:textId="77777777" w:rsidR="00FC15D8" w:rsidRDefault="000A2B8F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;</w:t>
      </w:r>
    </w:p>
    <w:p w14:paraId="280EC62C" w14:textId="77777777" w:rsidR="00FC15D8" w:rsidRDefault="000A2B8F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59D54EAA" w14:textId="77777777" w:rsidR="00FC15D8" w:rsidRDefault="000A2B8F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>.</w:t>
      </w:r>
    </w:p>
    <w:p w14:paraId="6737B0F0" w14:textId="77777777" w:rsidR="00FC15D8" w:rsidRDefault="000A2B8F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5E8BD794" w14:textId="77777777" w:rsidR="00FC15D8" w:rsidRDefault="000A2B8F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35DA344A" w14:textId="77777777" w:rsidR="00FC15D8" w:rsidRDefault="000A2B8F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>.</w:t>
      </w:r>
    </w:p>
    <w:p w14:paraId="0F14C776" w14:textId="77777777" w:rsidR="00FC15D8" w:rsidRDefault="000A2B8F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єднаними</w:t>
      </w:r>
      <w:r>
        <w:rPr>
          <w:rFonts w:ascii="Arial"/>
          <w:color w:val="000000"/>
          <w:sz w:val="18"/>
        </w:rPr>
        <w:t>.</w:t>
      </w:r>
    </w:p>
    <w:p w14:paraId="2B34C5C5" w14:textId="77777777" w:rsidR="00FC15D8" w:rsidRDefault="000A2B8F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єднаними</w:t>
      </w:r>
      <w:r>
        <w:rPr>
          <w:rFonts w:ascii="Arial"/>
          <w:color w:val="000000"/>
          <w:sz w:val="18"/>
        </w:rPr>
        <w:t>.</w:t>
      </w:r>
    </w:p>
    <w:p w14:paraId="2293F07C" w14:textId="77777777" w:rsidR="00FC15D8" w:rsidRDefault="000A2B8F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14:paraId="207D7753" w14:textId="77777777" w:rsidR="00FC15D8" w:rsidRDefault="000A2B8F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).</w:t>
      </w:r>
    </w:p>
    <w:p w14:paraId="0857806D" w14:textId="77777777" w:rsidR="00FC15D8" w:rsidRDefault="000A2B8F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>.</w:t>
      </w:r>
    </w:p>
    <w:p w14:paraId="1FE67DD6" w14:textId="77777777" w:rsidR="00FC15D8" w:rsidRDefault="000A2B8F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687642F9" w14:textId="77777777" w:rsidR="00FC15D8" w:rsidRDefault="000A2B8F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.</w:t>
      </w:r>
    </w:p>
    <w:p w14:paraId="1BF42832" w14:textId="77777777" w:rsidR="00FC15D8" w:rsidRDefault="000A2B8F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14:paraId="00B6C28F" w14:textId="77777777" w:rsidR="00FC15D8" w:rsidRDefault="000A2B8F">
      <w:pPr>
        <w:spacing w:after="0"/>
        <w:ind w:firstLine="240"/>
      </w:pPr>
      <w:bookmarkStart w:id="79" w:name="80"/>
      <w:bookmarkEnd w:id="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7E52AADB" w14:textId="77777777" w:rsidR="00FC15D8" w:rsidRDefault="000A2B8F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44719BA1" w14:textId="77777777" w:rsidR="00FC15D8" w:rsidRDefault="000A2B8F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14:paraId="556C4F78" w14:textId="77777777" w:rsidR="00FC15D8" w:rsidRDefault="000A2B8F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14:paraId="3731A295" w14:textId="77777777" w:rsidR="00FC15D8" w:rsidRDefault="000A2B8F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взагалі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</w:t>
      </w:r>
      <w:r>
        <w:rPr>
          <w:rFonts w:ascii="Arial"/>
          <w:color w:val="000000"/>
          <w:sz w:val="18"/>
        </w:rPr>
        <w:t>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06370EDD" w14:textId="77777777" w:rsidR="00FC15D8" w:rsidRDefault="000A2B8F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.</w:t>
      </w:r>
    </w:p>
    <w:p w14:paraId="0941FADF" w14:textId="77777777" w:rsidR="00FC15D8" w:rsidRDefault="000A2B8F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приділяли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ямками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).</w:t>
      </w:r>
    </w:p>
    <w:p w14:paraId="4341F489" w14:textId="77777777" w:rsidR="00FC15D8" w:rsidRDefault="000A2B8F">
      <w:pPr>
        <w:spacing w:after="0"/>
        <w:ind w:firstLine="240"/>
      </w:pPr>
      <w:bookmarkStart w:id="86" w:name="87"/>
      <w:bookmarkEnd w:id="8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>:</w:t>
      </w:r>
    </w:p>
    <w:p w14:paraId="544EF619" w14:textId="77777777" w:rsidR="00FC15D8" w:rsidRDefault="000A2B8F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7443FE1C" w14:textId="77777777" w:rsidR="00FC15D8" w:rsidRDefault="000A2B8F">
      <w:pPr>
        <w:spacing w:after="0"/>
        <w:ind w:firstLine="240"/>
      </w:pPr>
      <w:bookmarkStart w:id="88" w:name="89"/>
      <w:bookmarkEnd w:id="8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6F7880FD" w14:textId="77777777" w:rsidR="00FC15D8" w:rsidRDefault="000A2B8F">
      <w:pPr>
        <w:spacing w:after="0"/>
        <w:ind w:firstLine="240"/>
      </w:pPr>
      <w:bookmarkStart w:id="89" w:name="90"/>
      <w:bookmarkEnd w:id="8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керівними</w:t>
      </w:r>
      <w:r>
        <w:rPr>
          <w:rFonts w:ascii="Arial"/>
          <w:color w:val="000000"/>
          <w:sz w:val="18"/>
        </w:rPr>
        <w:t>;</w:t>
      </w:r>
    </w:p>
    <w:p w14:paraId="7CF95DD2" w14:textId="77777777" w:rsidR="00FC15D8" w:rsidRDefault="000A2B8F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591417F" w14:textId="77777777" w:rsidR="00FC15D8" w:rsidRDefault="000A2B8F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</w:t>
      </w:r>
      <w:r>
        <w:rPr>
          <w:rFonts w:ascii="Arial"/>
          <w:color w:val="000000"/>
          <w:sz w:val="18"/>
        </w:rPr>
        <w:t>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08A5085" w14:textId="77777777" w:rsidR="00FC15D8" w:rsidRDefault="000A2B8F">
      <w:pPr>
        <w:spacing w:after="0"/>
        <w:ind w:firstLine="240"/>
      </w:pPr>
      <w:bookmarkStart w:id="92" w:name="93"/>
      <w:bookmarkEnd w:id="91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453FDEAD" w14:textId="77777777" w:rsidR="00FC15D8" w:rsidRDefault="000A2B8F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14:paraId="3E4E5CF4" w14:textId="77777777" w:rsidR="00FC15D8" w:rsidRDefault="000A2B8F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14:paraId="5F50C8C4" w14:textId="77777777" w:rsidR="00FC15D8" w:rsidRDefault="000A2B8F">
      <w:pPr>
        <w:spacing w:after="0"/>
        <w:ind w:firstLine="240"/>
      </w:pPr>
      <w:bookmarkStart w:id="95" w:name="96"/>
      <w:bookmarkEnd w:id="9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.</w:t>
      </w:r>
    </w:p>
    <w:p w14:paraId="3932F606" w14:textId="77777777" w:rsidR="00FC15D8" w:rsidRDefault="000A2B8F">
      <w:pPr>
        <w:spacing w:after="0"/>
        <w:ind w:firstLine="240"/>
      </w:pPr>
      <w:bookmarkStart w:id="96" w:name="97"/>
      <w:bookmarkEnd w:id="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</w:t>
      </w:r>
      <w:r>
        <w:rPr>
          <w:rFonts w:ascii="Arial"/>
          <w:color w:val="000000"/>
          <w:sz w:val="18"/>
        </w:rPr>
        <w:t>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.</w:t>
      </w:r>
    </w:p>
    <w:p w14:paraId="73151074" w14:textId="77777777" w:rsidR="00FC15D8" w:rsidRDefault="000A2B8F">
      <w:pPr>
        <w:spacing w:after="0"/>
        <w:ind w:firstLine="240"/>
      </w:pPr>
      <w:bookmarkStart w:id="97" w:name="98"/>
      <w:bookmarkEnd w:id="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14:paraId="0A252EE6" w14:textId="77777777" w:rsidR="00FC15D8" w:rsidRDefault="000A2B8F">
      <w:pPr>
        <w:spacing w:after="0"/>
        <w:ind w:firstLine="240"/>
      </w:pPr>
      <w:bookmarkStart w:id="98" w:name="99"/>
      <w:bookmarkEnd w:id="9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F84F1AA" w14:textId="77777777" w:rsidR="00FC15D8" w:rsidRDefault="000A2B8F">
      <w:pPr>
        <w:pStyle w:val="3"/>
        <w:spacing w:after="0"/>
        <w:jc w:val="center"/>
      </w:pPr>
      <w:bookmarkStart w:id="99" w:name="100"/>
      <w:bookmarkEnd w:id="98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14:paraId="3A37E4DE" w14:textId="77777777" w:rsidR="00FC15D8" w:rsidRDefault="000A2B8F">
      <w:pPr>
        <w:spacing w:after="0"/>
        <w:ind w:firstLine="240"/>
      </w:pPr>
      <w:bookmarkStart w:id="100" w:name="101"/>
      <w:bookmarkEnd w:id="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0D53F7E3" w14:textId="77777777" w:rsidR="00FC15D8" w:rsidRDefault="000A2B8F">
      <w:pPr>
        <w:spacing w:after="0"/>
        <w:ind w:firstLine="240"/>
      </w:pPr>
      <w:bookmarkStart w:id="101" w:name="102"/>
      <w:bookmarkEnd w:id="1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14:paraId="69596DC5" w14:textId="77777777" w:rsidR="00FC15D8" w:rsidRDefault="000A2B8F">
      <w:pPr>
        <w:spacing w:after="0"/>
        <w:ind w:firstLine="240"/>
      </w:pPr>
      <w:bookmarkStart w:id="102" w:name="103"/>
      <w:bookmarkEnd w:id="1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26D50226" w14:textId="77777777" w:rsidR="00FC15D8" w:rsidRDefault="000A2B8F">
      <w:pPr>
        <w:spacing w:after="0"/>
        <w:ind w:firstLine="240"/>
      </w:pPr>
      <w:bookmarkStart w:id="103" w:name="104"/>
      <w:bookmarkEnd w:id="1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14:paraId="54C02EA4" w14:textId="77777777" w:rsidR="00FC15D8" w:rsidRDefault="000A2B8F">
      <w:pPr>
        <w:spacing w:after="0"/>
        <w:ind w:firstLine="240"/>
      </w:pPr>
      <w:bookmarkStart w:id="104" w:name="105"/>
      <w:bookmarkEnd w:id="1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BCA2450" w14:textId="77777777" w:rsidR="00FC15D8" w:rsidRDefault="000A2B8F">
      <w:pPr>
        <w:spacing w:after="0"/>
        <w:ind w:firstLine="240"/>
      </w:pPr>
      <w:bookmarkStart w:id="105" w:name="106"/>
      <w:bookmarkEnd w:id="1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44E00FFE" w14:textId="77777777" w:rsidR="00FC15D8" w:rsidRDefault="000A2B8F">
      <w:pPr>
        <w:spacing w:after="0"/>
        <w:ind w:firstLine="240"/>
      </w:pPr>
      <w:bookmarkStart w:id="106" w:name="107"/>
      <w:bookmarkEnd w:id="1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14:paraId="62D251B9" w14:textId="77777777" w:rsidR="00FC15D8" w:rsidRDefault="000A2B8F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).</w:t>
      </w:r>
    </w:p>
    <w:p w14:paraId="399606DE" w14:textId="77777777" w:rsidR="00FC15D8" w:rsidRDefault="000A2B8F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>.</w:t>
      </w:r>
    </w:p>
    <w:p w14:paraId="4B923243" w14:textId="77777777" w:rsidR="00FC15D8" w:rsidRDefault="000A2B8F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.</w:t>
      </w:r>
    </w:p>
    <w:p w14:paraId="429F1659" w14:textId="77777777" w:rsidR="00FC15D8" w:rsidRDefault="000A2B8F">
      <w:pPr>
        <w:spacing w:after="0"/>
        <w:ind w:firstLine="240"/>
      </w:pPr>
      <w:bookmarkStart w:id="110" w:name="111"/>
      <w:bookmarkEnd w:id="1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C291E49" w14:textId="77777777" w:rsidR="00FC15D8" w:rsidRDefault="000A2B8F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14:paraId="007BBB14" w14:textId="77777777" w:rsidR="00FC15D8" w:rsidRDefault="000A2B8F">
      <w:pPr>
        <w:spacing w:after="0"/>
        <w:ind w:firstLine="240"/>
      </w:pPr>
      <w:bookmarkStart w:id="112" w:name="113"/>
      <w:bookmarkEnd w:id="111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14:paraId="25C498C0" w14:textId="77777777" w:rsidR="00FC15D8" w:rsidRDefault="000A2B8F">
      <w:pPr>
        <w:pStyle w:val="3"/>
        <w:spacing w:after="0"/>
        <w:jc w:val="center"/>
      </w:pPr>
      <w:bookmarkStart w:id="113" w:name="114"/>
      <w:bookmarkEnd w:id="112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аудиторського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>)</w:t>
      </w:r>
    </w:p>
    <w:p w14:paraId="0224D738" w14:textId="77777777" w:rsidR="00FC15D8" w:rsidRDefault="000A2B8F">
      <w:pPr>
        <w:spacing w:after="0"/>
        <w:ind w:firstLine="240"/>
      </w:pPr>
      <w:bookmarkStart w:id="114" w:name="115"/>
      <w:bookmarkEnd w:id="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5A6139AD" w14:textId="77777777" w:rsidR="00FC15D8" w:rsidRDefault="000A2B8F">
      <w:pPr>
        <w:spacing w:after="0"/>
        <w:ind w:firstLine="240"/>
      </w:pPr>
      <w:bookmarkStart w:id="115" w:name="116"/>
      <w:bookmarkEnd w:id="1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EEE7821" w14:textId="77777777" w:rsidR="00FC15D8" w:rsidRDefault="000A2B8F">
      <w:pPr>
        <w:spacing w:after="0"/>
        <w:ind w:firstLine="240"/>
      </w:pPr>
      <w:bookmarkStart w:id="116" w:name="117"/>
      <w:bookmarkEnd w:id="1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7D836DB7" w14:textId="77777777" w:rsidR="00FC15D8" w:rsidRDefault="000A2B8F">
      <w:pPr>
        <w:spacing w:after="0"/>
        <w:ind w:firstLine="240"/>
      </w:pPr>
      <w:bookmarkStart w:id="117" w:name="118"/>
      <w:bookmarkEnd w:id="1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3614FC9E" w14:textId="77777777" w:rsidR="00FC15D8" w:rsidRDefault="000A2B8F">
      <w:pPr>
        <w:spacing w:after="0"/>
        <w:ind w:firstLine="240"/>
      </w:pPr>
      <w:bookmarkStart w:id="118" w:name="119"/>
      <w:bookmarkEnd w:id="1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бюджетування</w:t>
      </w:r>
      <w:r>
        <w:rPr>
          <w:rFonts w:ascii="Arial"/>
          <w:color w:val="000000"/>
          <w:sz w:val="18"/>
        </w:rPr>
        <w:t>);</w:t>
      </w:r>
    </w:p>
    <w:p w14:paraId="5E2C0C0B" w14:textId="77777777" w:rsidR="00FC15D8" w:rsidRDefault="000A2B8F">
      <w:pPr>
        <w:spacing w:after="0"/>
        <w:ind w:firstLine="240"/>
      </w:pPr>
      <w:bookmarkStart w:id="119" w:name="120"/>
      <w:bookmarkEnd w:id="1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5AD6E93F" w14:textId="77777777" w:rsidR="00FC15D8" w:rsidRDefault="000A2B8F">
      <w:pPr>
        <w:spacing w:after="0"/>
        <w:ind w:firstLine="240"/>
      </w:pPr>
      <w:bookmarkStart w:id="120" w:name="121"/>
      <w:bookmarkEnd w:id="1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01BEFB45" w14:textId="77777777" w:rsidR="00FC15D8" w:rsidRDefault="000A2B8F">
      <w:pPr>
        <w:spacing w:after="0"/>
        <w:ind w:firstLine="240"/>
      </w:pPr>
      <w:bookmarkStart w:id="121" w:name="122"/>
      <w:bookmarkEnd w:id="1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14:paraId="16BA3054" w14:textId="77777777" w:rsidR="00FC15D8" w:rsidRDefault="000A2B8F">
      <w:pPr>
        <w:spacing w:after="0"/>
        <w:ind w:firstLine="240"/>
      </w:pPr>
      <w:bookmarkStart w:id="122" w:name="123"/>
      <w:bookmarkEnd w:id="1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14:paraId="7FDCCB13" w14:textId="77777777" w:rsidR="00FC15D8" w:rsidRDefault="000A2B8F">
      <w:pPr>
        <w:spacing w:after="0"/>
        <w:ind w:firstLine="240"/>
      </w:pPr>
      <w:bookmarkStart w:id="123" w:name="124"/>
      <w:bookmarkEnd w:id="1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54679076" w14:textId="77777777" w:rsidR="00FC15D8" w:rsidRDefault="000A2B8F">
      <w:pPr>
        <w:spacing w:after="0"/>
        <w:ind w:firstLine="240"/>
      </w:pPr>
      <w:bookmarkStart w:id="124" w:name="125"/>
      <w:bookmarkEnd w:id="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241DE2C0" w14:textId="77777777" w:rsidR="00FC15D8" w:rsidRDefault="000A2B8F">
      <w:pPr>
        <w:spacing w:after="0"/>
        <w:ind w:firstLine="240"/>
      </w:pPr>
      <w:bookmarkStart w:id="125" w:name="126"/>
      <w:bookmarkEnd w:id="1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);</w:t>
      </w:r>
    </w:p>
    <w:p w14:paraId="29909819" w14:textId="77777777" w:rsidR="00FC15D8" w:rsidRDefault="000A2B8F">
      <w:pPr>
        <w:spacing w:after="0"/>
        <w:ind w:firstLine="240"/>
      </w:pPr>
      <w:bookmarkStart w:id="126" w:name="127"/>
      <w:bookmarkEnd w:id="1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);</w:t>
      </w:r>
    </w:p>
    <w:p w14:paraId="2B27C156" w14:textId="77777777" w:rsidR="00FC15D8" w:rsidRDefault="000A2B8F">
      <w:pPr>
        <w:spacing w:after="0"/>
        <w:ind w:firstLine="240"/>
      </w:pPr>
      <w:bookmarkStart w:id="127" w:name="128"/>
      <w:bookmarkEnd w:id="1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14:paraId="2F30DA4F" w14:textId="77777777" w:rsidR="00FC15D8" w:rsidRDefault="000A2B8F">
      <w:pPr>
        <w:spacing w:after="0"/>
        <w:ind w:firstLine="240"/>
      </w:pPr>
      <w:bookmarkStart w:id="128" w:name="129"/>
      <w:bookmarkEnd w:id="1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14:paraId="0033C8EB" w14:textId="77777777" w:rsidR="00FC15D8" w:rsidRDefault="000A2B8F">
      <w:pPr>
        <w:spacing w:after="0"/>
        <w:ind w:firstLine="240"/>
      </w:pPr>
      <w:bookmarkStart w:id="129" w:name="130"/>
      <w:bookmarkEnd w:id="1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);</w:t>
      </w:r>
    </w:p>
    <w:p w14:paraId="5DAF8608" w14:textId="77777777" w:rsidR="00FC15D8" w:rsidRDefault="000A2B8F">
      <w:pPr>
        <w:spacing w:after="0"/>
        <w:ind w:firstLine="240"/>
      </w:pPr>
      <w:bookmarkStart w:id="130" w:name="131"/>
      <w:bookmarkEnd w:id="1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;</w:t>
      </w:r>
    </w:p>
    <w:p w14:paraId="31B5D69F" w14:textId="77777777" w:rsidR="00FC15D8" w:rsidRDefault="000A2B8F">
      <w:pPr>
        <w:spacing w:after="0"/>
        <w:ind w:firstLine="240"/>
      </w:pPr>
      <w:bookmarkStart w:id="131" w:name="132"/>
      <w:bookmarkEnd w:id="1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14:paraId="27F76156" w14:textId="77777777" w:rsidR="00FC15D8" w:rsidRDefault="000A2B8F">
      <w:pPr>
        <w:spacing w:after="0"/>
        <w:ind w:firstLine="240"/>
      </w:pPr>
      <w:bookmarkStart w:id="132" w:name="133"/>
      <w:bookmarkEnd w:id="1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.</w:t>
      </w:r>
    </w:p>
    <w:p w14:paraId="585DF655" w14:textId="77777777" w:rsidR="00FC15D8" w:rsidRDefault="000A2B8F">
      <w:pPr>
        <w:spacing w:after="0"/>
        <w:ind w:firstLine="240"/>
      </w:pPr>
      <w:bookmarkStart w:id="133" w:name="134"/>
      <w:bookmarkEnd w:id="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27C00FC5" w14:textId="77777777" w:rsidR="00FC15D8" w:rsidRDefault="000A2B8F">
      <w:pPr>
        <w:spacing w:after="0"/>
        <w:ind w:firstLine="240"/>
      </w:pPr>
      <w:bookmarkStart w:id="134" w:name="135"/>
      <w:bookmarkEnd w:id="1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0E29B9D5" w14:textId="77777777" w:rsidR="00FC15D8" w:rsidRDefault="000A2B8F">
      <w:pPr>
        <w:spacing w:after="0"/>
        <w:ind w:firstLine="240"/>
      </w:pPr>
      <w:bookmarkStart w:id="135" w:name="136"/>
      <w:bookmarkEnd w:id="134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1CADBDF" w14:textId="77777777" w:rsidR="00FC15D8" w:rsidRDefault="000A2B8F">
      <w:pPr>
        <w:spacing w:after="0"/>
        <w:ind w:firstLine="240"/>
      </w:pPr>
      <w:bookmarkStart w:id="136" w:name="137"/>
      <w:bookmarkEnd w:id="1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0E61DC65" w14:textId="77777777" w:rsidR="00FC15D8" w:rsidRDefault="000A2B8F">
      <w:pPr>
        <w:spacing w:after="0"/>
        <w:ind w:firstLine="240"/>
      </w:pPr>
      <w:bookmarkStart w:id="137" w:name="138"/>
      <w:bookmarkEnd w:id="1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5B50D533" w14:textId="77777777" w:rsidR="00FC15D8" w:rsidRDefault="000A2B8F">
      <w:pPr>
        <w:spacing w:after="0"/>
        <w:ind w:firstLine="240"/>
      </w:pPr>
      <w:bookmarkStart w:id="138" w:name="139"/>
      <w:bookmarkEnd w:id="1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>.</w:t>
      </w:r>
    </w:p>
    <w:p w14:paraId="470FDC72" w14:textId="77777777" w:rsidR="00FC15D8" w:rsidRDefault="000A2B8F">
      <w:pPr>
        <w:pStyle w:val="3"/>
        <w:spacing w:after="0"/>
        <w:jc w:val="center"/>
      </w:pPr>
      <w:bookmarkStart w:id="139" w:name="140"/>
      <w:bookmarkEnd w:id="138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призначень</w:t>
      </w:r>
    </w:p>
    <w:p w14:paraId="4688CFDD" w14:textId="77777777" w:rsidR="00FC15D8" w:rsidRDefault="000A2B8F">
      <w:pPr>
        <w:spacing w:after="0"/>
        <w:ind w:firstLine="240"/>
      </w:pPr>
      <w:bookmarkStart w:id="140" w:name="141"/>
      <w:bookmarkEnd w:id="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099B31F2" w14:textId="77777777" w:rsidR="00FC15D8" w:rsidRDefault="000A2B8F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;</w:t>
      </w:r>
    </w:p>
    <w:p w14:paraId="21D7D088" w14:textId="77777777" w:rsidR="00FC15D8" w:rsidRDefault="000A2B8F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6F67AD0C" w14:textId="77777777" w:rsidR="00FC15D8" w:rsidRDefault="000A2B8F">
      <w:pPr>
        <w:spacing w:after="0"/>
        <w:ind w:firstLine="240"/>
      </w:pPr>
      <w:bookmarkStart w:id="143" w:name="144"/>
      <w:bookmarkEnd w:id="1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14:paraId="776695AD" w14:textId="77777777" w:rsidR="00FC15D8" w:rsidRDefault="000A2B8F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588F27A" w14:textId="77777777" w:rsidR="00FC15D8" w:rsidRDefault="000A2B8F">
      <w:pPr>
        <w:spacing w:after="0"/>
        <w:ind w:firstLine="240"/>
      </w:pPr>
      <w:bookmarkStart w:id="145" w:name="146"/>
      <w:bookmarkEnd w:id="1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61CB0A0F" w14:textId="77777777" w:rsidR="00FC15D8" w:rsidRDefault="000A2B8F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454DD630" w14:textId="77777777" w:rsidR="00FC15D8" w:rsidRDefault="000A2B8F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>;</w:t>
      </w:r>
    </w:p>
    <w:p w14:paraId="561EC920" w14:textId="77777777" w:rsidR="00FC15D8" w:rsidRDefault="000A2B8F">
      <w:pPr>
        <w:spacing w:after="0"/>
        <w:ind w:firstLine="240"/>
      </w:pPr>
      <w:bookmarkStart w:id="148" w:name="149"/>
      <w:bookmarkEnd w:id="1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>;</w:t>
      </w:r>
    </w:p>
    <w:p w14:paraId="7616BAB8" w14:textId="77777777" w:rsidR="00FC15D8" w:rsidRDefault="000A2B8F">
      <w:pPr>
        <w:spacing w:after="0"/>
        <w:ind w:firstLine="240"/>
      </w:pPr>
      <w:bookmarkStart w:id="149" w:name="150"/>
      <w:bookmarkEnd w:id="1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14:paraId="61062CD6" w14:textId="77777777" w:rsidR="00FC15D8" w:rsidRDefault="000A2B8F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44F301A8" w14:textId="77777777" w:rsidR="00FC15D8" w:rsidRDefault="000A2B8F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).</w:t>
      </w:r>
    </w:p>
    <w:p w14:paraId="399363CC" w14:textId="77777777" w:rsidR="00FC15D8" w:rsidRDefault="000A2B8F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.</w:t>
      </w:r>
    </w:p>
    <w:p w14:paraId="666853D0" w14:textId="77777777" w:rsidR="00FC15D8" w:rsidRDefault="000A2B8F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4B643013" w14:textId="77777777" w:rsidR="00FC15D8" w:rsidRDefault="000A2B8F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5D9516C0" w14:textId="77777777" w:rsidR="00FC15D8" w:rsidRDefault="000A2B8F">
      <w:pPr>
        <w:spacing w:after="0"/>
        <w:ind w:firstLine="240"/>
      </w:pPr>
      <w:bookmarkStart w:id="155" w:name="156"/>
      <w:bookmarkEnd w:id="15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3B96B963" w14:textId="77777777" w:rsidR="00FC15D8" w:rsidRDefault="000A2B8F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.</w:t>
      </w:r>
    </w:p>
    <w:p w14:paraId="2052EB8D" w14:textId="77777777" w:rsidR="00FC15D8" w:rsidRDefault="000A2B8F">
      <w:pPr>
        <w:spacing w:after="0"/>
        <w:ind w:firstLine="240"/>
      </w:pPr>
      <w:bookmarkStart w:id="157" w:name="158"/>
      <w:bookmarkEnd w:id="1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282338DF" w14:textId="77777777" w:rsidR="00FC15D8" w:rsidRDefault="000A2B8F">
      <w:pPr>
        <w:pStyle w:val="3"/>
        <w:spacing w:after="0"/>
        <w:jc w:val="center"/>
      </w:pPr>
      <w:bookmarkStart w:id="158" w:name="159"/>
      <w:bookmarkEnd w:id="157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</w:t>
      </w:r>
      <w:r>
        <w:rPr>
          <w:rFonts w:ascii="Arial"/>
          <w:color w:val="000000"/>
          <w:sz w:val="27"/>
        </w:rPr>
        <w:t>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</w:t>
      </w:r>
      <w:r>
        <w:rPr>
          <w:rFonts w:ascii="Arial"/>
          <w:color w:val="000000"/>
          <w:sz w:val="27"/>
        </w:rPr>
        <w:t>)</w:t>
      </w:r>
    </w:p>
    <w:p w14:paraId="6A4982C6" w14:textId="77777777" w:rsidR="00FC15D8" w:rsidRDefault="000A2B8F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212AD5E0" w14:textId="77777777" w:rsidR="00FC15D8" w:rsidRDefault="000A2B8F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35BB417" w14:textId="77777777" w:rsidR="00FC15D8" w:rsidRDefault="000A2B8F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018954B" w14:textId="77777777" w:rsidR="00FC15D8" w:rsidRDefault="000A2B8F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>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7A244E43" w14:textId="77777777" w:rsidR="00FC15D8" w:rsidRDefault="000A2B8F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14:paraId="5DDB4F75" w14:textId="77777777" w:rsidR="00FC15D8" w:rsidRDefault="000A2B8F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418423BB" w14:textId="77777777" w:rsidR="00FC15D8" w:rsidRDefault="000A2B8F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;</w:t>
      </w:r>
    </w:p>
    <w:p w14:paraId="055B89D0" w14:textId="77777777" w:rsidR="00FC15D8" w:rsidRDefault="000A2B8F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14:paraId="23C2B1FA" w14:textId="77777777" w:rsidR="00FC15D8" w:rsidRDefault="000A2B8F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14:paraId="7F328D3F" w14:textId="77777777" w:rsidR="00FC15D8" w:rsidRDefault="000A2B8F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14:paraId="5161AA63" w14:textId="77777777" w:rsidR="00FC15D8" w:rsidRDefault="000A2B8F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14:paraId="2AD28596" w14:textId="77777777" w:rsidR="00FC15D8" w:rsidRDefault="000A2B8F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695B9B5D" w14:textId="77777777" w:rsidR="00FC15D8" w:rsidRDefault="000A2B8F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>;</w:t>
      </w:r>
    </w:p>
    <w:p w14:paraId="7A6430BF" w14:textId="77777777" w:rsidR="00FC15D8" w:rsidRDefault="000A2B8F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>;</w:t>
      </w:r>
    </w:p>
    <w:p w14:paraId="70AF1A27" w14:textId="77777777" w:rsidR="00FC15D8" w:rsidRDefault="000A2B8F">
      <w:pPr>
        <w:spacing w:after="0"/>
        <w:ind w:firstLine="240"/>
      </w:pPr>
      <w:bookmarkStart w:id="173" w:name="174"/>
      <w:bookmarkEnd w:id="1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14:paraId="088B334C" w14:textId="77777777" w:rsidR="00FC15D8" w:rsidRDefault="000A2B8F">
      <w:pPr>
        <w:spacing w:after="0"/>
        <w:ind w:firstLine="240"/>
      </w:pPr>
      <w:bookmarkStart w:id="174" w:name="175"/>
      <w:bookmarkEnd w:id="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5F3B9817" w14:textId="77777777" w:rsidR="00FC15D8" w:rsidRDefault="000A2B8F">
      <w:pPr>
        <w:spacing w:after="0"/>
        <w:ind w:firstLine="240"/>
      </w:pPr>
      <w:bookmarkStart w:id="175" w:name="176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14:paraId="0C468E03" w14:textId="77777777" w:rsidR="00FC15D8" w:rsidRDefault="000A2B8F">
      <w:pPr>
        <w:pStyle w:val="3"/>
        <w:spacing w:after="0"/>
        <w:jc w:val="center"/>
      </w:pPr>
      <w:bookmarkStart w:id="176" w:name="177"/>
      <w:bookmarkEnd w:id="175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09C2D2E6" w14:textId="77777777" w:rsidR="00FC15D8" w:rsidRDefault="000A2B8F">
      <w:pPr>
        <w:pStyle w:val="3"/>
        <w:spacing w:after="0"/>
        <w:jc w:val="center"/>
      </w:pPr>
      <w:bookmarkStart w:id="177" w:name="178"/>
      <w:bookmarkEnd w:id="176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122171D0" w14:textId="77777777" w:rsidR="00FC15D8" w:rsidRDefault="000A2B8F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:</w:t>
      </w:r>
    </w:p>
    <w:p w14:paraId="2817EB24" w14:textId="77777777" w:rsidR="00FC15D8" w:rsidRDefault="000A2B8F">
      <w:pPr>
        <w:spacing w:after="0"/>
        <w:ind w:firstLine="240"/>
      </w:pPr>
      <w:bookmarkStart w:id="179" w:name="180"/>
      <w:bookmarkEnd w:id="1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38A48EDB" w14:textId="77777777" w:rsidR="00FC15D8" w:rsidRDefault="000A2B8F">
      <w:pPr>
        <w:spacing w:after="0"/>
        <w:ind w:firstLine="240"/>
      </w:pPr>
      <w:bookmarkStart w:id="180" w:name="181"/>
      <w:bookmarkEnd w:id="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1C094C0A" w14:textId="77777777" w:rsidR="00FC15D8" w:rsidRDefault="000A2B8F">
      <w:pPr>
        <w:spacing w:after="0"/>
        <w:ind w:firstLine="240"/>
      </w:pPr>
      <w:bookmarkStart w:id="181" w:name="182"/>
      <w:bookmarkEnd w:id="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2BB6E55D" w14:textId="77777777" w:rsidR="00FC15D8" w:rsidRDefault="000A2B8F">
      <w:pPr>
        <w:spacing w:after="0"/>
        <w:ind w:firstLine="240"/>
      </w:pPr>
      <w:bookmarkStart w:id="182" w:name="183"/>
      <w:bookmarkEnd w:id="1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>:</w:t>
      </w:r>
    </w:p>
    <w:p w14:paraId="2289F070" w14:textId="77777777" w:rsidR="00FC15D8" w:rsidRDefault="000A2B8F">
      <w:pPr>
        <w:spacing w:after="0"/>
        <w:ind w:firstLine="240"/>
      </w:pPr>
      <w:bookmarkStart w:id="183" w:name="184"/>
      <w:bookmarkEnd w:id="18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</w:t>
      </w:r>
      <w:r>
        <w:rPr>
          <w:rFonts w:ascii="Arial"/>
          <w:color w:val="000000"/>
          <w:sz w:val="18"/>
        </w:rPr>
        <w:t>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14:paraId="20D9AF63" w14:textId="77777777" w:rsidR="00FC15D8" w:rsidRDefault="000A2B8F">
      <w:pPr>
        <w:spacing w:after="0"/>
        <w:ind w:firstLine="240"/>
      </w:pPr>
      <w:bookmarkStart w:id="184" w:name="185"/>
      <w:bookmarkEnd w:id="183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);</w:t>
      </w:r>
    </w:p>
    <w:p w14:paraId="5A2A335E" w14:textId="77777777" w:rsidR="00FC15D8" w:rsidRDefault="000A2B8F">
      <w:pPr>
        <w:spacing w:after="0"/>
        <w:ind w:firstLine="240"/>
      </w:pPr>
      <w:bookmarkStart w:id="185" w:name="186"/>
      <w:bookmarkEnd w:id="184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20018527" w14:textId="77777777" w:rsidR="00FC15D8" w:rsidRDefault="000A2B8F">
      <w:pPr>
        <w:spacing w:after="0"/>
        <w:ind w:firstLine="240"/>
      </w:pPr>
      <w:bookmarkStart w:id="186" w:name="187"/>
      <w:bookmarkEnd w:id="18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55DE123" w14:textId="77777777" w:rsidR="00FC15D8" w:rsidRDefault="000A2B8F">
      <w:pPr>
        <w:spacing w:after="0"/>
        <w:ind w:firstLine="240"/>
      </w:pPr>
      <w:bookmarkStart w:id="187" w:name="188"/>
      <w:bookmarkEnd w:id="1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14:paraId="2D92EFDB" w14:textId="77777777" w:rsidR="00FC15D8" w:rsidRDefault="000A2B8F">
      <w:pPr>
        <w:spacing w:after="0"/>
        <w:ind w:firstLine="240"/>
      </w:pPr>
      <w:bookmarkStart w:id="188" w:name="189"/>
      <w:bookmarkEnd w:id="187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9086D03" w14:textId="77777777" w:rsidR="00FC15D8" w:rsidRDefault="000A2B8F">
      <w:pPr>
        <w:spacing w:after="0"/>
        <w:ind w:firstLine="240"/>
      </w:pPr>
      <w:bookmarkStart w:id="189" w:name="190"/>
      <w:bookmarkEnd w:id="188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14:paraId="534AFEBB" w14:textId="77777777" w:rsidR="00FC15D8" w:rsidRDefault="000A2B8F">
      <w:pPr>
        <w:spacing w:after="0"/>
        <w:ind w:firstLine="240"/>
      </w:pPr>
      <w:bookmarkStart w:id="190" w:name="191"/>
      <w:bookmarkEnd w:id="18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7F1B2279" w14:textId="77777777" w:rsidR="00FC15D8" w:rsidRDefault="000A2B8F">
      <w:pPr>
        <w:spacing w:after="0"/>
        <w:ind w:firstLine="240"/>
      </w:pPr>
      <w:bookmarkStart w:id="191" w:name="192"/>
      <w:bookmarkEnd w:id="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14:paraId="4F06744B" w14:textId="77777777" w:rsidR="00FC15D8" w:rsidRDefault="000A2B8F">
      <w:pPr>
        <w:spacing w:after="0"/>
        <w:ind w:firstLine="240"/>
      </w:pPr>
      <w:bookmarkStart w:id="192" w:name="193"/>
      <w:bookmarkEnd w:id="191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5A8304C" w14:textId="77777777" w:rsidR="00FC15D8" w:rsidRDefault="000A2B8F">
      <w:pPr>
        <w:spacing w:after="0"/>
        <w:ind w:firstLine="240"/>
      </w:pPr>
      <w:bookmarkStart w:id="193" w:name="194"/>
      <w:bookmarkEnd w:id="192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14:paraId="60519F49" w14:textId="77777777" w:rsidR="00FC15D8" w:rsidRDefault="000A2B8F">
      <w:pPr>
        <w:spacing w:after="0"/>
        <w:ind w:firstLine="240"/>
      </w:pPr>
      <w:bookmarkStart w:id="194" w:name="195"/>
      <w:bookmarkEnd w:id="193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6589EE5" w14:textId="77777777" w:rsidR="00FC15D8" w:rsidRDefault="000A2B8F">
      <w:pPr>
        <w:spacing w:after="0"/>
        <w:ind w:firstLine="240"/>
      </w:pPr>
      <w:bookmarkStart w:id="195" w:name="196"/>
      <w:bookmarkEnd w:id="194"/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14:paraId="00D475D6" w14:textId="77777777" w:rsidR="00FC15D8" w:rsidRDefault="000A2B8F">
      <w:pPr>
        <w:spacing w:after="0"/>
        <w:ind w:firstLine="240"/>
      </w:pPr>
      <w:bookmarkStart w:id="196" w:name="197"/>
      <w:bookmarkEnd w:id="195"/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71B94085" w14:textId="77777777" w:rsidR="00FC15D8" w:rsidRDefault="000A2B8F">
      <w:pPr>
        <w:spacing w:after="0"/>
        <w:ind w:firstLine="240"/>
      </w:pPr>
      <w:bookmarkStart w:id="197" w:name="198"/>
      <w:bookmarkEnd w:id="196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);</w:t>
      </w:r>
    </w:p>
    <w:p w14:paraId="6AED2DD8" w14:textId="77777777" w:rsidR="00FC15D8" w:rsidRDefault="000A2B8F">
      <w:pPr>
        <w:spacing w:after="0"/>
        <w:ind w:firstLine="240"/>
      </w:pPr>
      <w:bookmarkStart w:id="198" w:name="199"/>
      <w:bookmarkEnd w:id="197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2804A2B1" w14:textId="77777777" w:rsidR="00FC15D8" w:rsidRDefault="000A2B8F">
      <w:pPr>
        <w:spacing w:after="0"/>
        <w:ind w:firstLine="240"/>
      </w:pPr>
      <w:bookmarkStart w:id="199" w:name="200"/>
      <w:bookmarkEnd w:id="198"/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54E23771" w14:textId="77777777" w:rsidR="00FC15D8" w:rsidRDefault="000A2B8F">
      <w:pPr>
        <w:spacing w:after="0"/>
        <w:ind w:firstLine="240"/>
      </w:pPr>
      <w:bookmarkStart w:id="200" w:name="201"/>
      <w:bookmarkEnd w:id="19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.</w:t>
      </w:r>
    </w:p>
    <w:p w14:paraId="0575CD69" w14:textId="77777777" w:rsidR="00FC15D8" w:rsidRDefault="000A2B8F">
      <w:pPr>
        <w:spacing w:after="0"/>
        <w:ind w:firstLine="240"/>
      </w:pPr>
      <w:bookmarkStart w:id="201" w:name="202"/>
      <w:bookmarkEnd w:id="200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.</w:t>
      </w:r>
    </w:p>
    <w:p w14:paraId="1355E314" w14:textId="77777777" w:rsidR="00FC15D8" w:rsidRDefault="000A2B8F">
      <w:pPr>
        <w:spacing w:after="0"/>
        <w:ind w:firstLine="240"/>
      </w:pPr>
      <w:bookmarkStart w:id="202" w:name="203"/>
      <w:bookmarkEnd w:id="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1).</w:t>
      </w:r>
    </w:p>
    <w:p w14:paraId="60F53701" w14:textId="77777777" w:rsidR="00FC15D8" w:rsidRDefault="000A2B8F">
      <w:pPr>
        <w:spacing w:after="0"/>
        <w:ind w:firstLine="240"/>
      </w:pPr>
      <w:bookmarkStart w:id="203" w:name="204"/>
      <w:bookmarkEnd w:id="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14:paraId="3A4BF8CE" w14:textId="77777777" w:rsidR="00FC15D8" w:rsidRDefault="000A2B8F">
      <w:pPr>
        <w:spacing w:after="0"/>
        <w:ind w:firstLine="240"/>
      </w:pPr>
      <w:bookmarkStart w:id="204" w:name="205"/>
      <w:bookmarkEnd w:id="2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>.</w:t>
      </w:r>
    </w:p>
    <w:p w14:paraId="0F94CFB4" w14:textId="77777777" w:rsidR="00FC15D8" w:rsidRDefault="000A2B8F">
      <w:pPr>
        <w:spacing w:after="0"/>
        <w:ind w:firstLine="240"/>
      </w:pPr>
      <w:bookmarkStart w:id="205" w:name="206"/>
      <w:bookmarkEnd w:id="2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14:paraId="5AF0F033" w14:textId="77777777" w:rsidR="00FC15D8" w:rsidRDefault="000A2B8F">
      <w:pPr>
        <w:spacing w:after="0"/>
        <w:ind w:firstLine="240"/>
      </w:pPr>
      <w:bookmarkStart w:id="206" w:name="207"/>
      <w:bookmarkEnd w:id="2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14:paraId="683BBD20" w14:textId="77777777" w:rsidR="00FC15D8" w:rsidRDefault="000A2B8F">
      <w:pPr>
        <w:spacing w:after="0"/>
        <w:ind w:firstLine="240"/>
      </w:pPr>
      <w:bookmarkStart w:id="207" w:name="208"/>
      <w:bookmarkEnd w:id="20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56D36458" w14:textId="77777777" w:rsidR="00FC15D8" w:rsidRDefault="000A2B8F">
      <w:pPr>
        <w:spacing w:after="0"/>
        <w:ind w:firstLine="240"/>
      </w:pPr>
      <w:bookmarkStart w:id="208" w:name="209"/>
      <w:bookmarkEnd w:id="2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06BD5725" w14:textId="77777777" w:rsidR="00FC15D8" w:rsidRDefault="000A2B8F">
      <w:pPr>
        <w:pStyle w:val="3"/>
        <w:spacing w:after="0"/>
        <w:jc w:val="center"/>
      </w:pPr>
      <w:bookmarkStart w:id="209" w:name="210"/>
      <w:bookmarkEnd w:id="208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комплаєнсу</w:t>
      </w:r>
    </w:p>
    <w:p w14:paraId="28C4CB62" w14:textId="77777777" w:rsidR="00FC15D8" w:rsidRDefault="000A2B8F">
      <w:pPr>
        <w:spacing w:after="0"/>
        <w:ind w:firstLine="240"/>
      </w:pPr>
      <w:bookmarkStart w:id="210" w:name="211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20BB3722" w14:textId="77777777" w:rsidR="00FC15D8" w:rsidRDefault="000A2B8F">
      <w:pPr>
        <w:spacing w:after="0"/>
        <w:ind w:firstLine="240"/>
      </w:pPr>
      <w:bookmarkStart w:id="211" w:name="212"/>
      <w:bookmarkEnd w:id="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493EE699" w14:textId="77777777" w:rsidR="00FC15D8" w:rsidRDefault="000A2B8F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0D214DDB" w14:textId="77777777" w:rsidR="00FC15D8" w:rsidRDefault="000A2B8F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;</w:t>
      </w:r>
    </w:p>
    <w:p w14:paraId="51B48EF8" w14:textId="77777777" w:rsidR="00FC15D8" w:rsidRDefault="000A2B8F">
      <w:pPr>
        <w:spacing w:after="0"/>
        <w:ind w:firstLine="240"/>
      </w:pPr>
      <w:bookmarkStart w:id="214" w:name="215"/>
      <w:bookmarkEnd w:id="213"/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;</w:t>
      </w:r>
    </w:p>
    <w:p w14:paraId="16DD93B7" w14:textId="77777777" w:rsidR="00FC15D8" w:rsidRDefault="000A2B8F">
      <w:pPr>
        <w:spacing w:after="0"/>
        <w:ind w:firstLine="240"/>
      </w:pPr>
      <w:bookmarkStart w:id="215" w:name="216"/>
      <w:bookmarkEnd w:id="214"/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14:paraId="4D78A23B" w14:textId="77777777" w:rsidR="00FC15D8" w:rsidRDefault="000A2B8F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>;</w:t>
      </w:r>
    </w:p>
    <w:p w14:paraId="27F4879A" w14:textId="77777777" w:rsidR="00FC15D8" w:rsidRDefault="000A2B8F">
      <w:pPr>
        <w:spacing w:after="0"/>
        <w:ind w:firstLine="240"/>
      </w:pPr>
      <w:bookmarkStart w:id="217" w:name="218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;</w:t>
      </w:r>
    </w:p>
    <w:p w14:paraId="6B02F470" w14:textId="77777777" w:rsidR="00FC15D8" w:rsidRDefault="000A2B8F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6B685031" w14:textId="77777777" w:rsidR="00FC15D8" w:rsidRDefault="000A2B8F">
      <w:pPr>
        <w:spacing w:after="0"/>
        <w:ind w:firstLine="240"/>
      </w:pPr>
      <w:bookmarkStart w:id="219" w:name="220"/>
      <w:bookmarkEnd w:id="2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BD94A09" w14:textId="77777777" w:rsidR="00FC15D8" w:rsidRDefault="000A2B8F">
      <w:pPr>
        <w:spacing w:after="0"/>
        <w:ind w:firstLine="240"/>
      </w:pPr>
      <w:bookmarkStart w:id="220" w:name="221"/>
      <w:bookmarkEnd w:id="2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9F9F3D6" w14:textId="77777777" w:rsidR="00FC15D8" w:rsidRDefault="000A2B8F">
      <w:pPr>
        <w:spacing w:after="0"/>
        <w:ind w:firstLine="240"/>
      </w:pPr>
      <w:bookmarkStart w:id="221" w:name="222"/>
      <w:bookmarkEnd w:id="2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;</w:t>
      </w:r>
    </w:p>
    <w:p w14:paraId="050C5E45" w14:textId="77777777" w:rsidR="00FC15D8" w:rsidRDefault="000A2B8F">
      <w:pPr>
        <w:spacing w:after="0"/>
        <w:ind w:firstLine="240"/>
      </w:pPr>
      <w:bookmarkStart w:id="222" w:name="223"/>
      <w:bookmarkEnd w:id="2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</w:t>
      </w:r>
      <w:r>
        <w:rPr>
          <w:rFonts w:ascii="Arial"/>
          <w:color w:val="000000"/>
          <w:sz w:val="18"/>
        </w:rPr>
        <w:t>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;</w:t>
      </w:r>
    </w:p>
    <w:p w14:paraId="4689248E" w14:textId="77777777" w:rsidR="00FC15D8" w:rsidRDefault="000A2B8F">
      <w:pPr>
        <w:spacing w:after="0"/>
        <w:ind w:firstLine="240"/>
      </w:pPr>
      <w:bookmarkStart w:id="223" w:name="224"/>
      <w:bookmarkEnd w:id="2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</w:t>
      </w:r>
      <w:r>
        <w:rPr>
          <w:rFonts w:ascii="Arial"/>
          <w:color w:val="000000"/>
          <w:sz w:val="18"/>
        </w:rPr>
        <w:t>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14:paraId="164C2ADD" w14:textId="77777777" w:rsidR="00FC15D8" w:rsidRDefault="000A2B8F">
      <w:pPr>
        <w:spacing w:after="0"/>
        <w:ind w:firstLine="240"/>
      </w:pPr>
      <w:bookmarkStart w:id="224" w:name="225"/>
      <w:bookmarkEnd w:id="223"/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3151A82" w14:textId="77777777" w:rsidR="00FC15D8" w:rsidRDefault="000A2B8F">
      <w:pPr>
        <w:spacing w:after="0"/>
        <w:ind w:firstLine="240"/>
      </w:pPr>
      <w:bookmarkStart w:id="225" w:name="226"/>
      <w:bookmarkEnd w:id="2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14:paraId="5BA6A5DF" w14:textId="77777777" w:rsidR="00FC15D8" w:rsidRDefault="000A2B8F">
      <w:pPr>
        <w:spacing w:after="0"/>
        <w:ind w:firstLine="240"/>
      </w:pPr>
      <w:bookmarkStart w:id="226" w:name="227"/>
      <w:bookmarkEnd w:id="2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вірок</w:t>
      </w:r>
      <w:r>
        <w:rPr>
          <w:rFonts w:ascii="Arial"/>
          <w:color w:val="000000"/>
          <w:sz w:val="18"/>
        </w:rPr>
        <w:t>;</w:t>
      </w:r>
    </w:p>
    <w:p w14:paraId="23364225" w14:textId="77777777" w:rsidR="00FC15D8" w:rsidRDefault="000A2B8F">
      <w:pPr>
        <w:spacing w:after="0"/>
        <w:ind w:firstLine="240"/>
      </w:pPr>
      <w:bookmarkStart w:id="227" w:name="228"/>
      <w:bookmarkEnd w:id="22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>;</w:t>
      </w:r>
    </w:p>
    <w:p w14:paraId="73943FA8" w14:textId="77777777" w:rsidR="00FC15D8" w:rsidRDefault="000A2B8F">
      <w:pPr>
        <w:spacing w:after="0"/>
        <w:ind w:firstLine="240"/>
      </w:pPr>
      <w:bookmarkStart w:id="228" w:name="229"/>
      <w:bookmarkEnd w:id="22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95B1568" w14:textId="77777777" w:rsidR="00FC15D8" w:rsidRDefault="000A2B8F">
      <w:pPr>
        <w:spacing w:after="0"/>
        <w:ind w:firstLine="240"/>
      </w:pPr>
      <w:bookmarkStart w:id="229" w:name="230"/>
      <w:bookmarkEnd w:id="2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5650F68B" w14:textId="77777777" w:rsidR="00FC15D8" w:rsidRDefault="000A2B8F">
      <w:pPr>
        <w:spacing w:after="0"/>
        <w:ind w:firstLine="240"/>
      </w:pPr>
      <w:bookmarkStart w:id="230" w:name="231"/>
      <w:bookmarkEnd w:id="2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:</w:t>
      </w:r>
    </w:p>
    <w:p w14:paraId="7B0F2270" w14:textId="77777777" w:rsidR="00FC15D8" w:rsidRDefault="000A2B8F">
      <w:pPr>
        <w:spacing w:after="0"/>
        <w:ind w:firstLine="240"/>
      </w:pPr>
      <w:bookmarkStart w:id="231" w:name="232"/>
      <w:bookmarkEnd w:id="23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EA90AC4" w14:textId="77777777" w:rsidR="00FC15D8" w:rsidRDefault="000A2B8F">
      <w:pPr>
        <w:spacing w:after="0"/>
        <w:ind w:firstLine="240"/>
      </w:pPr>
      <w:bookmarkStart w:id="232" w:name="233"/>
      <w:bookmarkEnd w:id="231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60EC039" w14:textId="77777777" w:rsidR="00FC15D8" w:rsidRDefault="000A2B8F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14:paraId="7EF0F4F7" w14:textId="77777777" w:rsidR="00FC15D8" w:rsidRDefault="000A2B8F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7CF292A6" w14:textId="77777777" w:rsidR="00FC15D8" w:rsidRDefault="000A2B8F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00F0F24E" w14:textId="77777777" w:rsidR="00FC15D8" w:rsidRDefault="000A2B8F">
      <w:pPr>
        <w:spacing w:after="0"/>
        <w:ind w:firstLine="240"/>
      </w:pPr>
      <w:bookmarkStart w:id="236" w:name="237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</w:t>
      </w:r>
      <w:r>
        <w:rPr>
          <w:rFonts w:ascii="Arial"/>
          <w:color w:val="000000"/>
          <w:sz w:val="18"/>
        </w:rPr>
        <w:t>.</w:t>
      </w:r>
    </w:p>
    <w:p w14:paraId="368C4186" w14:textId="77777777" w:rsidR="00FC15D8" w:rsidRDefault="000A2B8F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3DBA8B72" w14:textId="77777777" w:rsidR="00FC15D8" w:rsidRDefault="000A2B8F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38846A95" w14:textId="77777777" w:rsidR="00FC15D8" w:rsidRDefault="000A2B8F">
      <w:pPr>
        <w:spacing w:after="0"/>
        <w:ind w:firstLine="240"/>
      </w:pPr>
      <w:bookmarkStart w:id="239" w:name="240"/>
      <w:bookmarkEnd w:id="2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);</w:t>
      </w:r>
    </w:p>
    <w:p w14:paraId="4AF9AB9F" w14:textId="77777777" w:rsidR="00FC15D8" w:rsidRDefault="000A2B8F">
      <w:pPr>
        <w:spacing w:after="0"/>
        <w:ind w:firstLine="240"/>
      </w:pPr>
      <w:bookmarkStart w:id="240" w:name="241"/>
      <w:bookmarkEnd w:id="2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6739D644" w14:textId="77777777" w:rsidR="00FC15D8" w:rsidRDefault="000A2B8F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30DDD0EF" w14:textId="77777777" w:rsidR="00FC15D8" w:rsidRDefault="000A2B8F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48A53FAF" w14:textId="77777777" w:rsidR="00FC15D8" w:rsidRDefault="000A2B8F">
      <w:pPr>
        <w:spacing w:after="0"/>
        <w:ind w:firstLine="240"/>
      </w:pPr>
      <w:bookmarkStart w:id="243" w:name="244"/>
      <w:bookmarkEnd w:id="2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;</w:t>
      </w:r>
    </w:p>
    <w:p w14:paraId="0688F4C5" w14:textId="77777777" w:rsidR="00FC15D8" w:rsidRDefault="000A2B8F">
      <w:pPr>
        <w:spacing w:after="0"/>
        <w:ind w:firstLine="240"/>
      </w:pPr>
      <w:bookmarkStart w:id="244" w:name="245"/>
      <w:bookmarkEnd w:id="2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14:paraId="4F22D506" w14:textId="77777777" w:rsidR="00FC15D8" w:rsidRDefault="000A2B8F">
      <w:pPr>
        <w:spacing w:after="0"/>
        <w:ind w:firstLine="240"/>
      </w:pPr>
      <w:bookmarkStart w:id="245" w:name="246"/>
      <w:bookmarkEnd w:id="2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06532E82" w14:textId="77777777" w:rsidR="00FC15D8" w:rsidRDefault="000A2B8F">
      <w:pPr>
        <w:spacing w:after="0"/>
        <w:ind w:firstLine="240"/>
      </w:pPr>
      <w:bookmarkStart w:id="246" w:name="247"/>
      <w:bookmarkEnd w:id="2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402BF736" w14:textId="77777777" w:rsidR="00FC15D8" w:rsidRDefault="000A2B8F">
      <w:pPr>
        <w:spacing w:after="0"/>
        <w:ind w:firstLine="240"/>
      </w:pPr>
      <w:bookmarkStart w:id="247" w:name="248"/>
      <w:bookmarkEnd w:id="2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14:paraId="71B79F1E" w14:textId="77777777" w:rsidR="00FC15D8" w:rsidRDefault="000A2B8F">
      <w:pPr>
        <w:spacing w:after="0"/>
        <w:ind w:firstLine="240"/>
      </w:pPr>
      <w:bookmarkStart w:id="248" w:name="249"/>
      <w:bookmarkEnd w:id="247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C602D33" w14:textId="77777777" w:rsidR="00FC15D8" w:rsidRDefault="000A2B8F">
      <w:pPr>
        <w:spacing w:after="0"/>
        <w:ind w:firstLine="240"/>
      </w:pPr>
      <w:bookmarkStart w:id="249" w:name="250"/>
      <w:bookmarkEnd w:id="248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00B2B534" w14:textId="77777777" w:rsidR="00FC15D8" w:rsidRDefault="000A2B8F">
      <w:pPr>
        <w:spacing w:after="0"/>
        <w:ind w:firstLine="240"/>
      </w:pPr>
      <w:bookmarkStart w:id="250" w:name="251"/>
      <w:bookmarkEnd w:id="24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14:paraId="62DE3DCB" w14:textId="77777777" w:rsidR="00FC15D8" w:rsidRDefault="000A2B8F">
      <w:pPr>
        <w:spacing w:after="0"/>
        <w:ind w:firstLine="240"/>
      </w:pPr>
      <w:bookmarkStart w:id="251" w:name="252"/>
      <w:bookmarkEnd w:id="2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02F56D8B" w14:textId="77777777" w:rsidR="00FC15D8" w:rsidRDefault="000A2B8F">
      <w:pPr>
        <w:spacing w:after="0"/>
        <w:ind w:firstLine="240"/>
      </w:pPr>
      <w:bookmarkStart w:id="252" w:name="253"/>
      <w:bookmarkEnd w:id="2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1C780F71" w14:textId="77777777" w:rsidR="00FC15D8" w:rsidRDefault="000A2B8F">
      <w:pPr>
        <w:spacing w:after="0"/>
        <w:ind w:firstLine="240"/>
      </w:pPr>
      <w:bookmarkStart w:id="253" w:name="254"/>
      <w:bookmarkEnd w:id="2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4F52065" w14:textId="77777777" w:rsidR="00FC15D8" w:rsidRDefault="000A2B8F">
      <w:pPr>
        <w:spacing w:after="0"/>
        <w:ind w:firstLine="240"/>
      </w:pPr>
      <w:bookmarkStart w:id="254" w:name="255"/>
      <w:bookmarkEnd w:id="2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);</w:t>
      </w:r>
    </w:p>
    <w:p w14:paraId="0AE891F8" w14:textId="77777777" w:rsidR="00FC15D8" w:rsidRDefault="000A2B8F">
      <w:pPr>
        <w:spacing w:after="0"/>
        <w:ind w:firstLine="240"/>
      </w:pPr>
      <w:bookmarkStart w:id="255" w:name="256"/>
      <w:bookmarkEnd w:id="25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14:paraId="17349151" w14:textId="77777777" w:rsidR="00FC15D8" w:rsidRDefault="000A2B8F">
      <w:pPr>
        <w:spacing w:after="0"/>
        <w:ind w:firstLine="240"/>
      </w:pPr>
      <w:bookmarkStart w:id="256" w:name="257"/>
      <w:bookmarkEnd w:id="2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.</w:t>
      </w:r>
    </w:p>
    <w:p w14:paraId="56B78912" w14:textId="77777777" w:rsidR="00FC15D8" w:rsidRDefault="000A2B8F">
      <w:pPr>
        <w:spacing w:after="0"/>
        <w:ind w:firstLine="240"/>
      </w:pPr>
      <w:bookmarkStart w:id="257" w:name="258"/>
      <w:bookmarkEnd w:id="2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5A125DAA" w14:textId="77777777" w:rsidR="00FC15D8" w:rsidRDefault="000A2B8F">
      <w:pPr>
        <w:spacing w:after="0"/>
        <w:ind w:firstLine="240"/>
      </w:pPr>
      <w:bookmarkStart w:id="258" w:name="259"/>
      <w:bookmarkEnd w:id="2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0DA032B4" w14:textId="77777777" w:rsidR="00FC15D8" w:rsidRDefault="000A2B8F">
      <w:pPr>
        <w:spacing w:after="0"/>
        <w:ind w:firstLine="240"/>
      </w:pPr>
      <w:bookmarkStart w:id="259" w:name="260"/>
      <w:bookmarkEnd w:id="258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55C5E51A" w14:textId="77777777" w:rsidR="00FC15D8" w:rsidRDefault="000A2B8F">
      <w:pPr>
        <w:pStyle w:val="3"/>
        <w:spacing w:after="0"/>
        <w:jc w:val="center"/>
      </w:pPr>
      <w:bookmarkStart w:id="260" w:name="261"/>
      <w:bookmarkEnd w:id="25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</w:p>
    <w:p w14:paraId="23F2FBC0" w14:textId="77777777" w:rsidR="00FC15D8" w:rsidRDefault="000A2B8F">
      <w:pPr>
        <w:spacing w:after="0"/>
        <w:ind w:firstLine="240"/>
      </w:pPr>
      <w:bookmarkStart w:id="261" w:name="262"/>
      <w:bookmarkEnd w:id="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3BB0BE68" w14:textId="77777777" w:rsidR="00FC15D8" w:rsidRDefault="000A2B8F">
      <w:pPr>
        <w:spacing w:after="0"/>
        <w:ind w:firstLine="240"/>
      </w:pPr>
      <w:bookmarkStart w:id="262" w:name="263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06856477" w14:textId="77777777" w:rsidR="00FC15D8" w:rsidRDefault="000A2B8F">
      <w:pPr>
        <w:spacing w:after="0"/>
        <w:ind w:firstLine="240"/>
      </w:pPr>
      <w:bookmarkStart w:id="263" w:name="264"/>
      <w:bookmarkEnd w:id="2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66BE40D" w14:textId="77777777" w:rsidR="00FC15D8" w:rsidRDefault="000A2B8F">
      <w:pPr>
        <w:spacing w:after="0"/>
        <w:ind w:firstLine="240"/>
      </w:pPr>
      <w:bookmarkStart w:id="264" w:name="265"/>
      <w:bookmarkEnd w:id="263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14:paraId="341890C1" w14:textId="77777777" w:rsidR="00FC15D8" w:rsidRDefault="000A2B8F">
      <w:pPr>
        <w:spacing w:after="0"/>
        <w:ind w:firstLine="240"/>
      </w:pPr>
      <w:bookmarkStart w:id="265" w:name="266"/>
      <w:bookmarkEnd w:id="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2D760146" w14:textId="77777777" w:rsidR="00FC15D8" w:rsidRDefault="000A2B8F">
      <w:pPr>
        <w:spacing w:after="0"/>
        <w:ind w:firstLine="240"/>
      </w:pPr>
      <w:bookmarkStart w:id="266" w:name="267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</w:t>
      </w:r>
      <w:r>
        <w:rPr>
          <w:rFonts w:ascii="Arial"/>
          <w:color w:val="000000"/>
          <w:sz w:val="18"/>
        </w:rPr>
        <w:t>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14:paraId="231BA702" w14:textId="77777777" w:rsidR="00FC15D8" w:rsidRDefault="000A2B8F">
      <w:pPr>
        <w:spacing w:after="0"/>
        <w:ind w:firstLine="240"/>
      </w:pPr>
      <w:bookmarkStart w:id="267" w:name="268"/>
      <w:bookmarkEnd w:id="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6E2C3A0" w14:textId="77777777" w:rsidR="00FC15D8" w:rsidRDefault="000A2B8F">
      <w:pPr>
        <w:spacing w:after="0"/>
        <w:ind w:firstLine="240"/>
      </w:pPr>
      <w:bookmarkStart w:id="268" w:name="269"/>
      <w:bookmarkEnd w:id="267"/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14:paraId="7477D166" w14:textId="77777777" w:rsidR="00FC15D8" w:rsidRDefault="000A2B8F">
      <w:pPr>
        <w:spacing w:after="0"/>
        <w:ind w:firstLine="240"/>
      </w:pPr>
      <w:bookmarkStart w:id="269" w:name="270"/>
      <w:bookmarkEnd w:id="268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14:paraId="33A9350F" w14:textId="77777777" w:rsidR="00FC15D8" w:rsidRDefault="000A2B8F">
      <w:pPr>
        <w:spacing w:after="0"/>
        <w:ind w:firstLine="240"/>
      </w:pPr>
      <w:bookmarkStart w:id="270" w:name="271"/>
      <w:bookmarkEnd w:id="2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7D6555CA" w14:textId="77777777" w:rsidR="00FC15D8" w:rsidRDefault="000A2B8F">
      <w:pPr>
        <w:spacing w:after="0"/>
        <w:ind w:firstLine="240"/>
      </w:pPr>
      <w:bookmarkStart w:id="271" w:name="272"/>
      <w:bookmarkEnd w:id="2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33992251" w14:textId="77777777" w:rsidR="00FC15D8" w:rsidRDefault="000A2B8F">
      <w:pPr>
        <w:spacing w:after="0"/>
        <w:ind w:firstLine="240"/>
      </w:pPr>
      <w:bookmarkStart w:id="272" w:name="273"/>
      <w:bookmarkEnd w:id="2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4C641B0" w14:textId="77777777" w:rsidR="00FC15D8" w:rsidRDefault="000A2B8F">
      <w:pPr>
        <w:spacing w:after="0"/>
        <w:ind w:firstLine="240"/>
      </w:pPr>
      <w:bookmarkStart w:id="273" w:name="274"/>
      <w:bookmarkEnd w:id="2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4D2C2A0" w14:textId="77777777" w:rsidR="00FC15D8" w:rsidRDefault="000A2B8F">
      <w:pPr>
        <w:spacing w:after="0"/>
        <w:ind w:firstLine="240"/>
      </w:pPr>
      <w:bookmarkStart w:id="274" w:name="275"/>
      <w:bookmarkEnd w:id="2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>;</w:t>
      </w:r>
    </w:p>
    <w:p w14:paraId="748124C0" w14:textId="77777777" w:rsidR="00FC15D8" w:rsidRDefault="000A2B8F">
      <w:pPr>
        <w:spacing w:after="0"/>
        <w:ind w:firstLine="240"/>
      </w:pPr>
      <w:bookmarkStart w:id="275" w:name="276"/>
      <w:bookmarkEnd w:id="2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196BD589" w14:textId="77777777" w:rsidR="00FC15D8" w:rsidRDefault="000A2B8F">
      <w:pPr>
        <w:spacing w:after="0"/>
        <w:ind w:firstLine="240"/>
      </w:pPr>
      <w:bookmarkStart w:id="276" w:name="277"/>
      <w:bookmarkEnd w:id="2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).</w:t>
      </w:r>
    </w:p>
    <w:p w14:paraId="58EB9EF1" w14:textId="77777777" w:rsidR="00FC15D8" w:rsidRDefault="000A2B8F">
      <w:pPr>
        <w:spacing w:after="0"/>
        <w:ind w:firstLine="240"/>
      </w:pPr>
      <w:bookmarkStart w:id="277" w:name="278"/>
      <w:bookmarkEnd w:id="2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23D69E7" w14:textId="77777777" w:rsidR="00FC15D8" w:rsidRDefault="000A2B8F">
      <w:pPr>
        <w:spacing w:after="0"/>
        <w:ind w:firstLine="240"/>
      </w:pPr>
      <w:bookmarkStart w:id="278" w:name="279"/>
      <w:bookmarkEnd w:id="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914A166" w14:textId="77777777" w:rsidR="00FC15D8" w:rsidRDefault="000A2B8F">
      <w:pPr>
        <w:spacing w:after="0"/>
        <w:ind w:firstLine="240"/>
      </w:pPr>
      <w:bookmarkStart w:id="279" w:name="280"/>
      <w:bookmarkEnd w:id="2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5780C821" w14:textId="77777777" w:rsidR="00FC15D8" w:rsidRDefault="000A2B8F">
      <w:pPr>
        <w:spacing w:after="0"/>
        <w:ind w:firstLine="240"/>
      </w:pPr>
      <w:bookmarkStart w:id="280" w:name="281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;</w:t>
      </w:r>
    </w:p>
    <w:p w14:paraId="028A806B" w14:textId="77777777" w:rsidR="00FC15D8" w:rsidRDefault="000A2B8F">
      <w:pPr>
        <w:spacing w:after="0"/>
        <w:ind w:firstLine="240"/>
      </w:pPr>
      <w:bookmarkStart w:id="281" w:name="282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166D47F7" w14:textId="77777777" w:rsidR="00FC15D8" w:rsidRDefault="000A2B8F">
      <w:pPr>
        <w:spacing w:after="0"/>
        <w:ind w:firstLine="240"/>
      </w:pPr>
      <w:bookmarkStart w:id="282" w:name="283"/>
      <w:bookmarkEnd w:id="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96E7FF5" w14:textId="77777777" w:rsidR="00FC15D8" w:rsidRDefault="000A2B8F">
      <w:pPr>
        <w:spacing w:after="0"/>
        <w:ind w:firstLine="240"/>
      </w:pPr>
      <w:bookmarkStart w:id="283" w:name="284"/>
      <w:bookmarkEnd w:id="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1F2FD7D0" w14:textId="77777777" w:rsidR="00FC15D8" w:rsidRDefault="000A2B8F">
      <w:pPr>
        <w:spacing w:after="0"/>
        <w:ind w:firstLine="240"/>
      </w:pPr>
      <w:bookmarkStart w:id="284" w:name="285"/>
      <w:bookmarkEnd w:id="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0976F925" w14:textId="77777777" w:rsidR="00FC15D8" w:rsidRDefault="000A2B8F">
      <w:pPr>
        <w:spacing w:after="0"/>
        <w:ind w:firstLine="240"/>
      </w:pPr>
      <w:bookmarkStart w:id="285" w:name="286"/>
      <w:bookmarkEnd w:id="2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апетиту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14:paraId="3440A4DC" w14:textId="77777777" w:rsidR="00FC15D8" w:rsidRDefault="000A2B8F">
      <w:pPr>
        <w:spacing w:after="0"/>
        <w:ind w:firstLine="240"/>
      </w:pPr>
      <w:bookmarkStart w:id="286" w:name="287"/>
      <w:bookmarkEnd w:id="2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2F014A0A" w14:textId="77777777" w:rsidR="00FC15D8" w:rsidRDefault="000A2B8F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5F822B5C" w14:textId="77777777" w:rsidR="00FC15D8" w:rsidRDefault="000A2B8F">
      <w:pPr>
        <w:spacing w:after="0"/>
        <w:ind w:firstLine="240"/>
      </w:pPr>
      <w:bookmarkStart w:id="288" w:name="289"/>
      <w:bookmarkEnd w:id="2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FC65E70" w14:textId="77777777" w:rsidR="00FC15D8" w:rsidRDefault="000A2B8F">
      <w:pPr>
        <w:spacing w:after="0"/>
        <w:ind w:firstLine="240"/>
      </w:pPr>
      <w:bookmarkStart w:id="289" w:name="290"/>
      <w:bookmarkEnd w:id="2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14:paraId="1821A563" w14:textId="77777777" w:rsidR="00FC15D8" w:rsidRDefault="000A2B8F">
      <w:pPr>
        <w:spacing w:after="0"/>
        <w:ind w:firstLine="240"/>
      </w:pPr>
      <w:bookmarkStart w:id="290" w:name="291"/>
      <w:bookmarkEnd w:id="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.</w:t>
      </w:r>
    </w:p>
    <w:p w14:paraId="5DD2915E" w14:textId="77777777" w:rsidR="00FC15D8" w:rsidRDefault="000A2B8F">
      <w:pPr>
        <w:spacing w:after="0"/>
        <w:ind w:firstLine="240"/>
      </w:pPr>
      <w:bookmarkStart w:id="291" w:name="292"/>
      <w:bookmarkEnd w:id="2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14:paraId="721FAB25" w14:textId="77777777" w:rsidR="00FC15D8" w:rsidRDefault="000A2B8F">
      <w:pPr>
        <w:spacing w:after="0"/>
        <w:ind w:firstLine="240"/>
      </w:pPr>
      <w:bookmarkStart w:id="292" w:name="293"/>
      <w:bookmarkEnd w:id="2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43F5AF24" w14:textId="77777777" w:rsidR="00FC15D8" w:rsidRDefault="000A2B8F">
      <w:pPr>
        <w:spacing w:after="0"/>
        <w:ind w:firstLine="240"/>
      </w:pPr>
      <w:bookmarkStart w:id="293" w:name="294"/>
      <w:bookmarkEnd w:id="292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434CC5EE" w14:textId="77777777" w:rsidR="00FC15D8" w:rsidRDefault="000A2B8F">
      <w:pPr>
        <w:spacing w:after="0"/>
        <w:ind w:firstLine="240"/>
      </w:pPr>
      <w:bookmarkStart w:id="294" w:name="295"/>
      <w:bookmarkEnd w:id="2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14:paraId="73520ABB" w14:textId="77777777" w:rsidR="00FC15D8" w:rsidRDefault="000A2B8F">
      <w:pPr>
        <w:spacing w:after="0"/>
        <w:ind w:firstLine="240"/>
      </w:pPr>
      <w:bookmarkStart w:id="295" w:name="296"/>
      <w:bookmarkEnd w:id="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.</w:t>
      </w:r>
    </w:p>
    <w:p w14:paraId="2D72AEE2" w14:textId="77777777" w:rsidR="00FC15D8" w:rsidRDefault="000A2B8F">
      <w:pPr>
        <w:spacing w:after="0"/>
        <w:ind w:firstLine="240"/>
      </w:pPr>
      <w:bookmarkStart w:id="296" w:name="297"/>
      <w:bookmarkEnd w:id="2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:</w:t>
      </w:r>
    </w:p>
    <w:p w14:paraId="23ABCCD3" w14:textId="77777777" w:rsidR="00FC15D8" w:rsidRDefault="000A2B8F">
      <w:pPr>
        <w:spacing w:after="0"/>
        <w:ind w:firstLine="240"/>
      </w:pPr>
      <w:bookmarkStart w:id="297" w:name="298"/>
      <w:bookmarkEnd w:id="2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;</w:t>
      </w:r>
    </w:p>
    <w:p w14:paraId="10DD8163" w14:textId="77777777" w:rsidR="00FC15D8" w:rsidRDefault="000A2B8F">
      <w:pPr>
        <w:spacing w:after="0"/>
        <w:ind w:firstLine="240"/>
      </w:pPr>
      <w:bookmarkStart w:id="298" w:name="299"/>
      <w:bookmarkEnd w:id="2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>;</w:t>
      </w:r>
    </w:p>
    <w:p w14:paraId="1CB9786D" w14:textId="77777777" w:rsidR="00FC15D8" w:rsidRDefault="000A2B8F">
      <w:pPr>
        <w:spacing w:after="0"/>
        <w:ind w:firstLine="240"/>
      </w:pPr>
      <w:bookmarkStart w:id="299" w:name="300"/>
      <w:bookmarkEnd w:id="2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124DAFB0" w14:textId="77777777" w:rsidR="00FC15D8" w:rsidRDefault="000A2B8F">
      <w:pPr>
        <w:spacing w:after="0"/>
        <w:ind w:firstLine="240"/>
      </w:pPr>
      <w:bookmarkStart w:id="300" w:name="301"/>
      <w:bookmarkEnd w:id="299"/>
      <w:r>
        <w:rPr>
          <w:rFonts w:ascii="Arial"/>
          <w:color w:val="000000"/>
          <w:sz w:val="18"/>
        </w:rPr>
        <w:t>процентний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959AE5B" w14:textId="77777777" w:rsidR="00FC15D8" w:rsidRDefault="000A2B8F">
      <w:pPr>
        <w:spacing w:after="0"/>
        <w:ind w:firstLine="240"/>
      </w:pPr>
      <w:bookmarkStart w:id="301" w:name="302"/>
      <w:bookmarkEnd w:id="300"/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>;</w:t>
      </w:r>
    </w:p>
    <w:p w14:paraId="1082B479" w14:textId="77777777" w:rsidR="00FC15D8" w:rsidRDefault="000A2B8F">
      <w:pPr>
        <w:spacing w:after="0"/>
        <w:ind w:firstLine="240"/>
      </w:pPr>
      <w:bookmarkStart w:id="302" w:name="303"/>
      <w:bookmarkEnd w:id="301"/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золота</w:t>
      </w:r>
      <w:r>
        <w:rPr>
          <w:rFonts w:ascii="Arial"/>
          <w:color w:val="000000"/>
          <w:sz w:val="18"/>
        </w:rPr>
        <w:t>;</w:t>
      </w:r>
    </w:p>
    <w:p w14:paraId="01525084" w14:textId="77777777" w:rsidR="00FC15D8" w:rsidRDefault="000A2B8F">
      <w:pPr>
        <w:spacing w:after="0"/>
        <w:ind w:firstLine="240"/>
      </w:pPr>
      <w:bookmarkStart w:id="303" w:name="304"/>
      <w:bookmarkEnd w:id="302"/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;</w:t>
      </w:r>
    </w:p>
    <w:p w14:paraId="4DE7812A" w14:textId="77777777" w:rsidR="00FC15D8" w:rsidRDefault="000A2B8F">
      <w:pPr>
        <w:spacing w:after="0"/>
        <w:ind w:firstLine="240"/>
      </w:pPr>
      <w:bookmarkStart w:id="304" w:name="305"/>
      <w:bookmarkEnd w:id="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4552FE5A" w14:textId="77777777" w:rsidR="00FC15D8" w:rsidRDefault="000A2B8F">
      <w:pPr>
        <w:spacing w:after="0"/>
        <w:ind w:firstLine="240"/>
      </w:pPr>
      <w:bookmarkStart w:id="305" w:name="306"/>
      <w:bookmarkEnd w:id="304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>);</w:t>
      </w:r>
    </w:p>
    <w:p w14:paraId="1BF49CB0" w14:textId="77777777" w:rsidR="00FC15D8" w:rsidRDefault="000A2B8F">
      <w:pPr>
        <w:spacing w:after="0"/>
        <w:ind w:firstLine="240"/>
      </w:pPr>
      <w:bookmarkStart w:id="306" w:name="307"/>
      <w:bookmarkEnd w:id="305"/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недосконалою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22BC530" w14:textId="77777777" w:rsidR="00FC15D8" w:rsidRDefault="000A2B8F">
      <w:pPr>
        <w:spacing w:after="0"/>
        <w:ind w:firstLine="240"/>
      </w:pPr>
      <w:bookmarkStart w:id="307" w:name="308"/>
      <w:bookmarkEnd w:id="306"/>
      <w:r>
        <w:rPr>
          <w:rFonts w:ascii="Arial"/>
          <w:color w:val="000000"/>
          <w:sz w:val="18"/>
        </w:rPr>
        <w:t>юридичний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14:paraId="34386D39" w14:textId="77777777" w:rsidR="00FC15D8" w:rsidRDefault="000A2B8F">
      <w:pPr>
        <w:spacing w:after="0"/>
        <w:ind w:firstLine="240"/>
      </w:pPr>
      <w:bookmarkStart w:id="308" w:name="309"/>
      <w:bookmarkEnd w:id="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неадекватного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14:paraId="73C2F2AE" w14:textId="77777777" w:rsidR="00FC15D8" w:rsidRDefault="000A2B8F">
      <w:pPr>
        <w:spacing w:after="0"/>
        <w:ind w:firstLine="240"/>
      </w:pPr>
      <w:bookmarkStart w:id="309" w:name="310"/>
      <w:bookmarkEnd w:id="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14:paraId="18E4E849" w14:textId="77777777" w:rsidR="00FC15D8" w:rsidRDefault="000A2B8F">
      <w:pPr>
        <w:spacing w:after="0"/>
        <w:ind w:firstLine="240"/>
      </w:pPr>
      <w:bookmarkStart w:id="310" w:name="311"/>
      <w:bookmarkEnd w:id="3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левериджу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14:paraId="20B001BA" w14:textId="77777777" w:rsidR="00FC15D8" w:rsidRDefault="000A2B8F">
      <w:pPr>
        <w:spacing w:after="0"/>
        <w:ind w:firstLine="240"/>
      </w:pPr>
      <w:bookmarkStart w:id="311" w:name="312"/>
      <w:bookmarkEnd w:id="3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14:paraId="1B3F01CE" w14:textId="77777777" w:rsidR="00FC15D8" w:rsidRDefault="000A2B8F">
      <w:pPr>
        <w:spacing w:after="0"/>
        <w:ind w:firstLine="240"/>
      </w:pPr>
      <w:bookmarkStart w:id="312" w:name="313"/>
      <w:bookmarkEnd w:id="311"/>
      <w:r>
        <w:rPr>
          <w:rFonts w:ascii="Arial"/>
          <w:color w:val="000000"/>
          <w:sz w:val="18"/>
        </w:rPr>
        <w:t xml:space="preserve">AML/CFT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14:paraId="5B350F61" w14:textId="77777777" w:rsidR="00FC15D8" w:rsidRDefault="000A2B8F">
      <w:pPr>
        <w:spacing w:after="0"/>
        <w:ind w:firstLine="240"/>
      </w:pPr>
      <w:bookmarkStart w:id="313" w:name="314"/>
      <w:bookmarkEnd w:id="312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1D9BEA63" w14:textId="77777777" w:rsidR="00FC15D8" w:rsidRDefault="000A2B8F">
      <w:pPr>
        <w:spacing w:after="0"/>
        <w:ind w:firstLine="240"/>
      </w:pPr>
      <w:bookmarkStart w:id="314" w:name="315"/>
      <w:bookmarkEnd w:id="3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017B8BE5" w14:textId="77777777" w:rsidR="00FC15D8" w:rsidRDefault="000A2B8F">
      <w:pPr>
        <w:spacing w:after="0"/>
        <w:ind w:firstLine="240"/>
      </w:pPr>
      <w:bookmarkStart w:id="315" w:name="316"/>
      <w:bookmarkEnd w:id="31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>;</w:t>
      </w:r>
    </w:p>
    <w:p w14:paraId="7BB27EF1" w14:textId="77777777" w:rsidR="00FC15D8" w:rsidRDefault="000A2B8F">
      <w:pPr>
        <w:spacing w:after="0"/>
        <w:ind w:firstLine="240"/>
      </w:pPr>
      <w:bookmarkStart w:id="316" w:name="317"/>
      <w:bookmarkEnd w:id="31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:</w:t>
      </w:r>
    </w:p>
    <w:p w14:paraId="09BCF0F2" w14:textId="77777777" w:rsidR="00FC15D8" w:rsidRDefault="000A2B8F">
      <w:pPr>
        <w:spacing w:after="0"/>
        <w:ind w:firstLine="240"/>
      </w:pPr>
      <w:bookmarkStart w:id="317" w:name="318"/>
      <w:bookmarkEnd w:id="316"/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>;</w:t>
      </w:r>
    </w:p>
    <w:p w14:paraId="307429A4" w14:textId="77777777" w:rsidR="00FC15D8" w:rsidRDefault="000A2B8F">
      <w:pPr>
        <w:spacing w:after="0"/>
        <w:ind w:firstLine="240"/>
      </w:pPr>
      <w:bookmarkStart w:id="318" w:name="319"/>
      <w:bookmarkEnd w:id="317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);</w:t>
      </w:r>
    </w:p>
    <w:p w14:paraId="736E351E" w14:textId="77777777" w:rsidR="00FC15D8" w:rsidRDefault="000A2B8F">
      <w:pPr>
        <w:spacing w:after="0"/>
        <w:ind w:firstLine="240"/>
      </w:pPr>
      <w:bookmarkStart w:id="319" w:name="320"/>
      <w:bookmarkEnd w:id="31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залишковий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очікувалося</w:t>
      </w:r>
      <w:r>
        <w:rPr>
          <w:rFonts w:ascii="Arial"/>
          <w:color w:val="000000"/>
          <w:sz w:val="18"/>
        </w:rPr>
        <w:t>.</w:t>
      </w:r>
    </w:p>
    <w:p w14:paraId="65F8B71B" w14:textId="77777777" w:rsidR="00FC15D8" w:rsidRDefault="000A2B8F">
      <w:pPr>
        <w:spacing w:after="0"/>
        <w:ind w:firstLine="240"/>
      </w:pPr>
      <w:bookmarkStart w:id="320" w:name="321"/>
      <w:bookmarkEnd w:id="3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119586B7" w14:textId="77777777" w:rsidR="00FC15D8" w:rsidRDefault="000A2B8F">
      <w:pPr>
        <w:pStyle w:val="3"/>
        <w:spacing w:after="0"/>
        <w:jc w:val="center"/>
      </w:pPr>
      <w:bookmarkStart w:id="321" w:name="322"/>
      <w:bookmarkEnd w:id="320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</w:p>
    <w:p w14:paraId="305DD048" w14:textId="77777777" w:rsidR="00FC15D8" w:rsidRDefault="000A2B8F">
      <w:pPr>
        <w:spacing w:after="0"/>
        <w:ind w:firstLine="240"/>
      </w:pPr>
      <w:bookmarkStart w:id="322" w:name="323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1A0C1DAB" w14:textId="77777777" w:rsidR="00FC15D8" w:rsidRDefault="000A2B8F">
      <w:pPr>
        <w:spacing w:after="0"/>
        <w:ind w:firstLine="240"/>
      </w:pPr>
      <w:bookmarkStart w:id="323" w:name="324"/>
      <w:bookmarkEnd w:id="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14:paraId="5DDAF5D9" w14:textId="77777777" w:rsidR="00FC15D8" w:rsidRDefault="000A2B8F">
      <w:pPr>
        <w:spacing w:after="0"/>
        <w:ind w:firstLine="240"/>
      </w:pPr>
      <w:bookmarkStart w:id="324" w:name="325"/>
      <w:bookmarkEnd w:id="3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34165FAC" w14:textId="77777777" w:rsidR="00FC15D8" w:rsidRDefault="000A2B8F">
      <w:pPr>
        <w:spacing w:after="0"/>
        <w:ind w:firstLine="240"/>
      </w:pPr>
      <w:bookmarkStart w:id="325" w:name="326"/>
      <w:bookmarkEnd w:id="324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);</w:t>
      </w:r>
    </w:p>
    <w:p w14:paraId="59611B28" w14:textId="77777777" w:rsidR="00FC15D8" w:rsidRDefault="000A2B8F">
      <w:pPr>
        <w:spacing w:after="0"/>
        <w:ind w:firstLine="240"/>
      </w:pPr>
      <w:bookmarkStart w:id="326" w:name="327"/>
      <w:bookmarkEnd w:id="3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;</w:t>
      </w:r>
    </w:p>
    <w:p w14:paraId="7D5BA6EB" w14:textId="77777777" w:rsidR="00FC15D8" w:rsidRDefault="000A2B8F">
      <w:pPr>
        <w:spacing w:after="0"/>
        <w:ind w:firstLine="240"/>
      </w:pPr>
      <w:bookmarkStart w:id="327" w:name="328"/>
      <w:bookmarkEnd w:id="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14:paraId="401F79F6" w14:textId="77777777" w:rsidR="00FC15D8" w:rsidRDefault="000A2B8F">
      <w:pPr>
        <w:spacing w:after="0"/>
        <w:ind w:firstLine="240"/>
      </w:pPr>
      <w:bookmarkStart w:id="328" w:name="329"/>
      <w:bookmarkEnd w:id="3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2969E1F" w14:textId="77777777" w:rsidR="00FC15D8" w:rsidRDefault="000A2B8F">
      <w:pPr>
        <w:spacing w:after="0"/>
        <w:ind w:firstLine="240"/>
      </w:pPr>
      <w:bookmarkStart w:id="329" w:name="330"/>
      <w:bookmarkEnd w:id="3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14:paraId="373CD73D" w14:textId="77777777" w:rsidR="00FC15D8" w:rsidRDefault="000A2B8F">
      <w:pPr>
        <w:spacing w:after="0"/>
        <w:ind w:firstLine="240"/>
      </w:pPr>
      <w:bookmarkStart w:id="330" w:name="331"/>
      <w:bookmarkEnd w:id="329"/>
      <w:r>
        <w:rPr>
          <w:rFonts w:ascii="Arial"/>
          <w:color w:val="000000"/>
          <w:sz w:val="18"/>
        </w:rPr>
        <w:t>укомплектованість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охарактеризування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14:paraId="341A200B" w14:textId="77777777" w:rsidR="00FC15D8" w:rsidRDefault="000A2B8F">
      <w:pPr>
        <w:spacing w:after="0"/>
        <w:ind w:firstLine="240"/>
      </w:pPr>
      <w:bookmarkStart w:id="331" w:name="332"/>
      <w:bookmarkEnd w:id="330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14:paraId="694C1A83" w14:textId="77777777" w:rsidR="00FC15D8" w:rsidRDefault="000A2B8F">
      <w:pPr>
        <w:spacing w:after="0"/>
        <w:ind w:firstLine="240"/>
      </w:pPr>
      <w:bookmarkStart w:id="332" w:name="333"/>
      <w:bookmarkEnd w:id="33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);</w:t>
      </w:r>
    </w:p>
    <w:p w14:paraId="27A20F99" w14:textId="77777777" w:rsidR="00FC15D8" w:rsidRDefault="000A2B8F">
      <w:pPr>
        <w:spacing w:after="0"/>
        <w:ind w:firstLine="240"/>
      </w:pPr>
      <w:bookmarkStart w:id="333" w:name="334"/>
      <w:bookmarkEnd w:id="332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14:paraId="0F3D2BAA" w14:textId="77777777" w:rsidR="00FC15D8" w:rsidRDefault="000A2B8F">
      <w:pPr>
        <w:spacing w:after="0"/>
        <w:ind w:firstLine="240"/>
      </w:pPr>
      <w:bookmarkStart w:id="334" w:name="335"/>
      <w:bookmarkEnd w:id="333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14:paraId="38C0CC62" w14:textId="77777777" w:rsidR="00FC15D8" w:rsidRDefault="000A2B8F">
      <w:pPr>
        <w:spacing w:after="0"/>
        <w:ind w:firstLine="240"/>
      </w:pPr>
      <w:bookmarkStart w:id="335" w:name="336"/>
      <w:bookmarkEnd w:id="334"/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).</w:t>
      </w:r>
    </w:p>
    <w:p w14:paraId="576DAB35" w14:textId="77777777" w:rsidR="00FC15D8" w:rsidRDefault="000A2B8F">
      <w:pPr>
        <w:spacing w:after="0"/>
        <w:ind w:firstLine="240"/>
      </w:pPr>
      <w:bookmarkStart w:id="336" w:name="337"/>
      <w:bookmarkEnd w:id="335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проміжним</w:t>
      </w:r>
      <w:r>
        <w:rPr>
          <w:rFonts w:ascii="Arial"/>
          <w:color w:val="000000"/>
          <w:sz w:val="18"/>
        </w:rPr>
        <w:t>).</w:t>
      </w:r>
    </w:p>
    <w:p w14:paraId="254E07C4" w14:textId="77777777" w:rsidR="00FC15D8" w:rsidRDefault="000A2B8F">
      <w:pPr>
        <w:spacing w:after="0"/>
        <w:ind w:firstLine="240"/>
      </w:pPr>
      <w:bookmarkStart w:id="337" w:name="338"/>
      <w:bookmarkEnd w:id="336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3D8CB92E" w14:textId="77777777" w:rsidR="00FC15D8" w:rsidRDefault="000A2B8F">
      <w:pPr>
        <w:spacing w:after="0"/>
        <w:ind w:firstLine="240"/>
      </w:pPr>
      <w:bookmarkStart w:id="338" w:name="339"/>
      <w:bookmarkEnd w:id="3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5AA8DE6B" w14:textId="77777777" w:rsidR="00FC15D8" w:rsidRDefault="000A2B8F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B699E5E" w14:textId="77777777" w:rsidR="00FC15D8" w:rsidRDefault="000A2B8F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14:paraId="3DED3A6A" w14:textId="77777777" w:rsidR="00FC15D8" w:rsidRDefault="000A2B8F">
      <w:pPr>
        <w:spacing w:after="0"/>
        <w:ind w:firstLine="240"/>
      </w:pPr>
      <w:bookmarkStart w:id="341" w:name="342"/>
      <w:bookmarkEnd w:id="3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14:paraId="50E6CC2C" w14:textId="77777777" w:rsidR="00FC15D8" w:rsidRDefault="000A2B8F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4133A1C1" w14:textId="77777777" w:rsidR="00FC15D8" w:rsidRDefault="000A2B8F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);</w:t>
      </w:r>
    </w:p>
    <w:p w14:paraId="74D146EC" w14:textId="77777777" w:rsidR="00FC15D8" w:rsidRDefault="000A2B8F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B9AB576" w14:textId="77777777" w:rsidR="00FC15D8" w:rsidRDefault="000A2B8F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14:paraId="19302EBC" w14:textId="77777777" w:rsidR="00FC15D8" w:rsidRDefault="000A2B8F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);</w:t>
      </w:r>
    </w:p>
    <w:p w14:paraId="687DA4FB" w14:textId="77777777" w:rsidR="00FC15D8" w:rsidRDefault="000A2B8F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372F2459" w14:textId="77777777" w:rsidR="00FC15D8" w:rsidRDefault="000A2B8F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14:paraId="26924B24" w14:textId="77777777" w:rsidR="00FC15D8" w:rsidRDefault="000A2B8F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555971A1" w14:textId="77777777" w:rsidR="00FC15D8" w:rsidRDefault="000A2B8F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63690740" w14:textId="77777777" w:rsidR="00FC15D8" w:rsidRDefault="000A2B8F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14:paraId="4F481351" w14:textId="77777777" w:rsidR="00FC15D8" w:rsidRDefault="000A2B8F">
      <w:pPr>
        <w:spacing w:after="0"/>
        <w:ind w:firstLine="240"/>
      </w:pPr>
      <w:bookmarkStart w:id="352" w:name="353"/>
      <w:bookmarkEnd w:id="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1B19E7F0" w14:textId="77777777" w:rsidR="00FC15D8" w:rsidRDefault="000A2B8F">
      <w:pPr>
        <w:spacing w:after="0"/>
        <w:ind w:firstLine="240"/>
      </w:pPr>
      <w:bookmarkStart w:id="353" w:name="354"/>
      <w:bookmarkEnd w:id="3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14:paraId="4BE3B00A" w14:textId="77777777" w:rsidR="00FC15D8" w:rsidRDefault="000A2B8F">
      <w:pPr>
        <w:spacing w:after="0"/>
        <w:ind w:firstLine="240"/>
      </w:pPr>
      <w:bookmarkStart w:id="354" w:name="355"/>
      <w:bookmarkEnd w:id="3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78E53EE7" w14:textId="77777777" w:rsidR="00FC15D8" w:rsidRDefault="000A2B8F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>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0DAB2ADE" w14:textId="77777777" w:rsidR="00FC15D8" w:rsidRDefault="000A2B8F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;</w:t>
      </w:r>
    </w:p>
    <w:p w14:paraId="7A983F5E" w14:textId="77777777" w:rsidR="00FC15D8" w:rsidRDefault="000A2B8F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3DC3E63F" w14:textId="77777777" w:rsidR="00FC15D8" w:rsidRDefault="000A2B8F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>;</w:t>
      </w:r>
    </w:p>
    <w:p w14:paraId="1F64C459" w14:textId="77777777" w:rsidR="00FC15D8" w:rsidRDefault="000A2B8F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14:paraId="77CD4C6A" w14:textId="77777777" w:rsidR="00FC15D8" w:rsidRDefault="000A2B8F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19F986A8" w14:textId="77777777" w:rsidR="00FC15D8" w:rsidRDefault="000A2B8F">
      <w:pPr>
        <w:pStyle w:val="3"/>
        <w:spacing w:after="0"/>
        <w:jc w:val="center"/>
      </w:pPr>
      <w:bookmarkStart w:id="361" w:name="362"/>
      <w:bookmarkEnd w:id="360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</w:t>
      </w:r>
      <w:r>
        <w:rPr>
          <w:rFonts w:ascii="Arial"/>
          <w:color w:val="000000"/>
          <w:sz w:val="27"/>
        </w:rPr>
        <w:t>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14AF9029" w14:textId="77777777" w:rsidR="00FC15D8" w:rsidRDefault="000A2B8F">
      <w:pPr>
        <w:pStyle w:val="3"/>
        <w:spacing w:after="0"/>
        <w:jc w:val="center"/>
      </w:pPr>
      <w:bookmarkStart w:id="362" w:name="363"/>
      <w:bookmarkEnd w:id="361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E3A200E" w14:textId="77777777" w:rsidR="00FC15D8" w:rsidRDefault="000A2B8F">
      <w:pPr>
        <w:spacing w:after="0"/>
        <w:ind w:firstLine="240"/>
      </w:pPr>
      <w:bookmarkStart w:id="363" w:name="364"/>
      <w:bookmarkEnd w:id="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06EC848B" w14:textId="77777777" w:rsidR="00FC15D8" w:rsidRDefault="000A2B8F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3AA5789A" w14:textId="77777777" w:rsidR="00FC15D8" w:rsidRDefault="000A2B8F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14:paraId="791076F2" w14:textId="77777777" w:rsidR="00FC15D8" w:rsidRDefault="000A2B8F">
      <w:pPr>
        <w:spacing w:after="0"/>
        <w:ind w:firstLine="240"/>
      </w:pPr>
      <w:bookmarkStart w:id="366" w:name="367"/>
      <w:bookmarkEnd w:id="3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14:paraId="07B01B4D" w14:textId="77777777" w:rsidR="00FC15D8" w:rsidRDefault="000A2B8F">
      <w:pPr>
        <w:spacing w:after="0"/>
        <w:ind w:firstLine="240"/>
      </w:pPr>
      <w:bookmarkStart w:id="367" w:name="368"/>
      <w:bookmarkEnd w:id="3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");</w:t>
      </w:r>
    </w:p>
    <w:p w14:paraId="0A141658" w14:textId="77777777" w:rsidR="00FC15D8" w:rsidRDefault="000A2B8F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фідуціарні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</w:t>
      </w:r>
      <w:r>
        <w:rPr>
          <w:rFonts w:ascii="Arial"/>
          <w:color w:val="000000"/>
          <w:sz w:val="18"/>
        </w:rPr>
        <w:t>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14:paraId="3FA9D861" w14:textId="77777777" w:rsidR="00FC15D8" w:rsidRDefault="000A2B8F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);</w:t>
      </w:r>
    </w:p>
    <w:p w14:paraId="71DED3BB" w14:textId="77777777" w:rsidR="00FC15D8" w:rsidRDefault="000A2B8F">
      <w:pPr>
        <w:spacing w:after="0"/>
        <w:ind w:firstLine="240"/>
      </w:pPr>
      <w:bookmarkStart w:id="370" w:name="371"/>
      <w:bookmarkEnd w:id="3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14:paraId="0C6DAC9D" w14:textId="77777777" w:rsidR="00FC15D8" w:rsidRDefault="000A2B8F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6683CA4A" w14:textId="77777777" w:rsidR="00FC15D8" w:rsidRDefault="000A2B8F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68F46F1E" w14:textId="77777777" w:rsidR="00FC15D8" w:rsidRDefault="000A2B8F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0457C3DE" w14:textId="77777777" w:rsidR="00FC15D8" w:rsidRDefault="000A2B8F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);</w:t>
      </w:r>
    </w:p>
    <w:p w14:paraId="3601D9B1" w14:textId="77777777" w:rsidR="00FC15D8" w:rsidRDefault="000A2B8F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14:paraId="00091E11" w14:textId="77777777" w:rsidR="00FC15D8" w:rsidRDefault="000A2B8F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14:paraId="78D31F94" w14:textId="77777777" w:rsidR="00FC15D8" w:rsidRDefault="000A2B8F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566F73D1" w14:textId="77777777" w:rsidR="00FC15D8" w:rsidRDefault="000A2B8F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14:paraId="0CBAF491" w14:textId="77777777" w:rsidR="00FC15D8" w:rsidRDefault="000A2B8F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14:paraId="7B4517C5" w14:textId="77777777" w:rsidR="00FC15D8" w:rsidRDefault="000A2B8F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);</w:t>
      </w:r>
    </w:p>
    <w:p w14:paraId="24ADCA24" w14:textId="77777777" w:rsidR="00FC15D8" w:rsidRDefault="000A2B8F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14:paraId="3A309E5F" w14:textId="77777777" w:rsidR="00FC15D8" w:rsidRDefault="000A2B8F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76386D70" w14:textId="77777777" w:rsidR="00FC15D8" w:rsidRDefault="000A2B8F">
      <w:pPr>
        <w:spacing w:after="0"/>
        <w:ind w:firstLine="240"/>
      </w:pPr>
      <w:bookmarkStart w:id="383" w:name="384"/>
      <w:bookmarkEnd w:id="38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;</w:t>
      </w:r>
    </w:p>
    <w:p w14:paraId="6DCB541A" w14:textId="77777777" w:rsidR="00FC15D8" w:rsidRDefault="000A2B8F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14:paraId="2C66515F" w14:textId="77777777" w:rsidR="00FC15D8" w:rsidRDefault="000A2B8F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6C4C80F3" w14:textId="77777777" w:rsidR="00FC15D8" w:rsidRDefault="000A2B8F">
      <w:pPr>
        <w:spacing w:after="0"/>
        <w:ind w:firstLine="240"/>
      </w:pPr>
      <w:bookmarkStart w:id="386" w:name="387"/>
      <w:bookmarkEnd w:id="38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>.</w:t>
      </w:r>
    </w:p>
    <w:p w14:paraId="4DFBE981" w14:textId="77777777" w:rsidR="00FC15D8" w:rsidRDefault="000A2B8F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14:paraId="5439E430" w14:textId="77777777" w:rsidR="00FC15D8" w:rsidRDefault="000A2B8F">
      <w:pPr>
        <w:spacing w:after="0"/>
        <w:ind w:firstLine="240"/>
      </w:pPr>
      <w:bookmarkStart w:id="388" w:name="389"/>
      <w:bookmarkEnd w:id="3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BF3D59C" w14:textId="77777777" w:rsidR="00FC15D8" w:rsidRDefault="000A2B8F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).</w:t>
      </w:r>
    </w:p>
    <w:p w14:paraId="6456A925" w14:textId="77777777" w:rsidR="00FC15D8" w:rsidRDefault="000A2B8F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14:paraId="6BA3EAB9" w14:textId="77777777" w:rsidR="00FC15D8" w:rsidRDefault="000A2B8F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14:paraId="0A70A5D5" w14:textId="77777777" w:rsidR="00FC15D8" w:rsidRDefault="000A2B8F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14:paraId="1E96A224" w14:textId="77777777" w:rsidR="00FC15D8" w:rsidRDefault="000A2B8F">
      <w:pPr>
        <w:pStyle w:val="3"/>
        <w:spacing w:after="0"/>
        <w:jc w:val="center"/>
      </w:pPr>
      <w:bookmarkStart w:id="393" w:name="394"/>
      <w:bookmarkEnd w:id="392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13D6F6AE" w14:textId="77777777" w:rsidR="00FC15D8" w:rsidRDefault="000A2B8F">
      <w:pPr>
        <w:spacing w:after="0"/>
        <w:ind w:firstLine="240"/>
      </w:pPr>
      <w:bookmarkStart w:id="394" w:name="395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>).</w:t>
      </w:r>
    </w:p>
    <w:p w14:paraId="38C21C25" w14:textId="77777777" w:rsidR="00FC15D8" w:rsidRDefault="000A2B8F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14:paraId="09BE945B" w14:textId="77777777" w:rsidR="00FC15D8" w:rsidRDefault="000A2B8F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6F4E2386" w14:textId="77777777" w:rsidR="00FC15D8" w:rsidRDefault="000A2B8F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23B5BBED" w14:textId="77777777" w:rsidR="00FC15D8" w:rsidRDefault="000A2B8F">
      <w:pPr>
        <w:spacing w:after="0"/>
        <w:ind w:firstLine="240"/>
      </w:pPr>
      <w:bookmarkStart w:id="398" w:name="399"/>
      <w:bookmarkEnd w:id="39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).</w:t>
      </w:r>
    </w:p>
    <w:p w14:paraId="0DF72A79" w14:textId="77777777" w:rsidR="00FC15D8" w:rsidRDefault="000A2B8F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14:paraId="5E252059" w14:textId="77777777" w:rsidR="00FC15D8" w:rsidRDefault="000A2B8F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3.</w:t>
      </w:r>
    </w:p>
    <w:p w14:paraId="5156DF9B" w14:textId="77777777" w:rsidR="00FC15D8" w:rsidRDefault="000A2B8F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</w:t>
      </w:r>
      <w:r>
        <w:rPr>
          <w:rFonts w:ascii="Arial"/>
          <w:color w:val="000000"/>
          <w:sz w:val="18"/>
        </w:rPr>
        <w:t>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14:paraId="0CCD1F05" w14:textId="77777777" w:rsidR="00FC15D8" w:rsidRDefault="000A2B8F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).</w:t>
      </w:r>
    </w:p>
    <w:p w14:paraId="342BB0E6" w14:textId="77777777" w:rsidR="00FC15D8" w:rsidRDefault="000A2B8F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</w:t>
      </w:r>
      <w:r>
        <w:rPr>
          <w:rFonts w:ascii="Arial"/>
          <w:color w:val="000000"/>
          <w:sz w:val="18"/>
        </w:rPr>
        <w:t>арту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14:paraId="0B2E363C" w14:textId="77777777" w:rsidR="00FC15D8" w:rsidRDefault="000A2B8F">
      <w:pPr>
        <w:spacing w:after="0"/>
        <w:ind w:firstLine="240"/>
      </w:pPr>
      <w:bookmarkStart w:id="404" w:name="405"/>
      <w:bookmarkEnd w:id="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14:paraId="06E344A3" w14:textId="77777777" w:rsidR="00FC15D8" w:rsidRDefault="000A2B8F">
      <w:pPr>
        <w:spacing w:after="0"/>
        <w:ind w:firstLine="240"/>
      </w:pPr>
      <w:bookmarkStart w:id="405" w:name="406"/>
      <w:bookmarkEnd w:id="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>:</w:t>
      </w:r>
    </w:p>
    <w:p w14:paraId="57CCD477" w14:textId="77777777" w:rsidR="00FC15D8" w:rsidRDefault="000A2B8F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67FFBC5C" w14:textId="77777777" w:rsidR="00FC15D8" w:rsidRDefault="000A2B8F">
      <w:pPr>
        <w:spacing w:after="0"/>
        <w:ind w:firstLine="240"/>
      </w:pPr>
      <w:bookmarkStart w:id="407" w:name="408"/>
      <w:bookmarkEnd w:id="4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;</w:t>
      </w:r>
    </w:p>
    <w:p w14:paraId="58E9FB2C" w14:textId="77777777" w:rsidR="00FC15D8" w:rsidRDefault="000A2B8F">
      <w:pPr>
        <w:spacing w:after="0"/>
        <w:ind w:firstLine="240"/>
      </w:pPr>
      <w:bookmarkStart w:id="408" w:name="409"/>
      <w:bookmarkEnd w:id="4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)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14:paraId="2355BA73" w14:textId="77777777" w:rsidR="00FC15D8" w:rsidRDefault="000A2B8F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2ADEA419" w14:textId="77777777" w:rsidR="00FC15D8" w:rsidRDefault="000A2B8F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14:paraId="3A4A1026" w14:textId="77777777" w:rsidR="00FC15D8" w:rsidRDefault="000A2B8F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465A5D11" w14:textId="77777777" w:rsidR="00FC15D8" w:rsidRDefault="000A2B8F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14:paraId="13B13829" w14:textId="77777777" w:rsidR="00FC15D8" w:rsidRDefault="000A2B8F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0C42E5A" w14:textId="77777777" w:rsidR="00FC15D8" w:rsidRDefault="000A2B8F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1 - 8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5132E1AD" w14:textId="77777777" w:rsidR="00FC15D8" w:rsidRDefault="000A2B8F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28087F6B" w14:textId="77777777" w:rsidR="00FC15D8" w:rsidRDefault="000A2B8F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b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14:paraId="690CEFFB" w14:textId="77777777" w:rsidR="00FC15D8" w:rsidRDefault="000A2B8F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свекруха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14:paraId="305F4E4B" w14:textId="77777777" w:rsidR="00FC15D8" w:rsidRDefault="000A2B8F">
      <w:pPr>
        <w:spacing w:after="0"/>
        <w:ind w:firstLine="240"/>
      </w:pPr>
      <w:bookmarkStart w:id="418" w:name="419"/>
      <w:bookmarkEnd w:id="4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14:paraId="534B727B" w14:textId="77777777" w:rsidR="00FC15D8" w:rsidRDefault="000A2B8F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073AD5B" w14:textId="77777777" w:rsidR="00FC15D8" w:rsidRDefault="000A2B8F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.</w:t>
      </w:r>
    </w:p>
    <w:p w14:paraId="40CE3946" w14:textId="77777777" w:rsidR="00FC15D8" w:rsidRDefault="000A2B8F">
      <w:pPr>
        <w:pStyle w:val="3"/>
        <w:spacing w:after="0"/>
        <w:jc w:val="center"/>
      </w:pPr>
      <w:bookmarkStart w:id="421" w:name="422"/>
      <w:bookmarkEnd w:id="42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42781BA1" w14:textId="77777777" w:rsidR="00FC15D8" w:rsidRDefault="000A2B8F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14:paraId="14C8CA3B" w14:textId="77777777" w:rsidR="00FC15D8" w:rsidRDefault="000A2B8F">
      <w:pPr>
        <w:spacing w:after="0"/>
        <w:ind w:firstLine="240"/>
      </w:pPr>
      <w:bookmarkStart w:id="423" w:name="424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7602EBA2" w14:textId="77777777" w:rsidR="00FC15D8" w:rsidRDefault="000A2B8F">
      <w:pPr>
        <w:spacing w:after="0"/>
        <w:ind w:firstLine="240"/>
      </w:pPr>
      <w:bookmarkStart w:id="424" w:name="425"/>
      <w:bookmarkEnd w:id="4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.</w:t>
      </w:r>
    </w:p>
    <w:p w14:paraId="69169A83" w14:textId="77777777" w:rsidR="00FC15D8" w:rsidRDefault="000A2B8F">
      <w:pPr>
        <w:pStyle w:val="3"/>
        <w:spacing w:after="0"/>
        <w:jc w:val="center"/>
      </w:pPr>
      <w:bookmarkStart w:id="425" w:name="426"/>
      <w:bookmarkEnd w:id="424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23328CC0" w14:textId="77777777" w:rsidR="00FC15D8" w:rsidRDefault="000A2B8F">
      <w:pPr>
        <w:spacing w:after="0"/>
        <w:ind w:firstLine="240"/>
      </w:pPr>
      <w:bookmarkStart w:id="426" w:name="427"/>
      <w:bookmarkEnd w:id="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14:paraId="654E7093" w14:textId="77777777" w:rsidR="00FC15D8" w:rsidRDefault="000A2B8F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14:paraId="0D41948B" w14:textId="77777777" w:rsidR="00FC15D8" w:rsidRDefault="000A2B8F">
      <w:pPr>
        <w:spacing w:after="0"/>
        <w:ind w:firstLine="240"/>
      </w:pPr>
      <w:bookmarkStart w:id="428" w:name="429"/>
      <w:bookmarkEnd w:id="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14:paraId="27EC4382" w14:textId="77777777" w:rsidR="00FC15D8" w:rsidRDefault="000A2B8F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14:paraId="2DE68FBE" w14:textId="77777777" w:rsidR="00FC15D8" w:rsidRDefault="000A2B8F">
      <w:pPr>
        <w:spacing w:after="0"/>
        <w:ind w:firstLine="240"/>
      </w:pPr>
      <w:bookmarkStart w:id="430" w:name="431"/>
      <w:bookmarkEnd w:id="42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.</w:t>
      </w:r>
    </w:p>
    <w:p w14:paraId="01254ABD" w14:textId="77777777" w:rsidR="00FC15D8" w:rsidRDefault="000A2B8F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0EB0D88E" w14:textId="77777777" w:rsidR="00FC15D8" w:rsidRDefault="000A2B8F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14:paraId="3170734A" w14:textId="77777777" w:rsidR="00FC15D8" w:rsidRDefault="000A2B8F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14:paraId="4203A999" w14:textId="77777777" w:rsidR="00FC15D8" w:rsidRDefault="000A2B8F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14:paraId="218E2E42" w14:textId="77777777" w:rsidR="00FC15D8" w:rsidRDefault="000A2B8F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14:paraId="669169B3" w14:textId="77777777" w:rsidR="00FC15D8" w:rsidRDefault="000A2B8F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7390DC0E" w14:textId="77777777" w:rsidR="00FC15D8" w:rsidRDefault="000A2B8F">
      <w:pPr>
        <w:pStyle w:val="3"/>
        <w:spacing w:after="0"/>
        <w:jc w:val="center"/>
      </w:pPr>
      <w:bookmarkStart w:id="437" w:name="438"/>
      <w:bookmarkEnd w:id="436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14:paraId="1756F1BC" w14:textId="77777777" w:rsidR="00FC15D8" w:rsidRDefault="000A2B8F">
      <w:pPr>
        <w:spacing w:after="0"/>
        <w:ind w:firstLine="240"/>
      </w:pPr>
      <w:bookmarkStart w:id="438" w:name="439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7D847B75" w14:textId="77777777" w:rsidR="00FC15D8" w:rsidRDefault="000A2B8F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14:paraId="5E812041" w14:textId="77777777" w:rsidR="00FC15D8" w:rsidRDefault="000A2B8F">
      <w:pPr>
        <w:spacing w:after="0"/>
        <w:ind w:firstLine="240"/>
      </w:pPr>
      <w:bookmarkStart w:id="440" w:name="441"/>
      <w:bookmarkEnd w:id="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тейкерів</w:t>
      </w:r>
      <w:r>
        <w:rPr>
          <w:rFonts w:ascii="Arial"/>
          <w:color w:val="000000"/>
          <w:sz w:val="18"/>
        </w:rPr>
        <w:t>.</w:t>
      </w:r>
    </w:p>
    <w:p w14:paraId="1ABF350F" w14:textId="77777777" w:rsidR="00FC15D8" w:rsidRDefault="000A2B8F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14:paraId="346332F4" w14:textId="77777777" w:rsidR="00FC15D8" w:rsidRDefault="000A2B8F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>;</w:t>
      </w:r>
    </w:p>
    <w:p w14:paraId="5CA67E73" w14:textId="77777777" w:rsidR="00FC15D8" w:rsidRDefault="000A2B8F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14:paraId="7A4DEA60" w14:textId="77777777" w:rsidR="00FC15D8" w:rsidRDefault="000A2B8F">
      <w:pPr>
        <w:spacing w:after="0"/>
        <w:ind w:firstLine="240"/>
      </w:pPr>
      <w:bookmarkStart w:id="444" w:name="445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A255499" w14:textId="77777777" w:rsidR="00FC15D8" w:rsidRDefault="000A2B8F">
      <w:pPr>
        <w:spacing w:after="0"/>
        <w:ind w:firstLine="240"/>
      </w:pPr>
      <w:bookmarkStart w:id="445" w:name="446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14:paraId="252B1E77" w14:textId="77777777" w:rsidR="00FC15D8" w:rsidRDefault="000A2B8F">
      <w:pPr>
        <w:spacing w:after="0"/>
        <w:ind w:firstLine="240"/>
      </w:pPr>
      <w:bookmarkStart w:id="446" w:name="447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023C8D81" w14:textId="77777777" w:rsidR="00FC15D8" w:rsidRDefault="000A2B8F">
      <w:pPr>
        <w:spacing w:after="0"/>
        <w:ind w:firstLine="240"/>
      </w:pPr>
      <w:bookmarkStart w:id="447" w:name="448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>;</w:t>
      </w:r>
    </w:p>
    <w:p w14:paraId="680D5245" w14:textId="77777777" w:rsidR="00FC15D8" w:rsidRDefault="000A2B8F">
      <w:pPr>
        <w:spacing w:after="0"/>
        <w:ind w:firstLine="240"/>
      </w:pPr>
      <w:bookmarkStart w:id="448" w:name="449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21A1B0D" w14:textId="77777777" w:rsidR="00FC15D8" w:rsidRDefault="000A2B8F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14:paraId="1E8CA77A" w14:textId="77777777" w:rsidR="00FC15D8" w:rsidRDefault="000A2B8F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14:paraId="1501C06D" w14:textId="77777777" w:rsidR="00FC15D8" w:rsidRDefault="000A2B8F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;</w:t>
      </w:r>
    </w:p>
    <w:p w14:paraId="7F3FC58C" w14:textId="77777777" w:rsidR="00FC15D8" w:rsidRDefault="000A2B8F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);</w:t>
      </w:r>
    </w:p>
    <w:p w14:paraId="4C8A95A7" w14:textId="77777777" w:rsidR="00FC15D8" w:rsidRDefault="000A2B8F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7B9C0301" w14:textId="77777777" w:rsidR="00FC15D8" w:rsidRDefault="000A2B8F">
      <w:pPr>
        <w:spacing w:after="0"/>
        <w:ind w:firstLine="240"/>
      </w:pPr>
      <w:bookmarkStart w:id="454" w:name="455"/>
      <w:bookmarkEnd w:id="45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14:paraId="2B2C2750" w14:textId="77777777" w:rsidR="00FC15D8" w:rsidRDefault="000A2B8F">
      <w:pPr>
        <w:spacing w:after="0"/>
        <w:ind w:firstLine="240"/>
      </w:pPr>
      <w:bookmarkStart w:id="455" w:name="456"/>
      <w:bookmarkEnd w:id="45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14:paraId="57ECFBE8" w14:textId="77777777" w:rsidR="00FC15D8" w:rsidRDefault="000A2B8F">
      <w:pPr>
        <w:spacing w:after="0"/>
        <w:ind w:firstLine="240"/>
      </w:pPr>
      <w:bookmarkStart w:id="456" w:name="457"/>
      <w:bookmarkEnd w:id="45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14:paraId="3988D6F0" w14:textId="77777777" w:rsidR="00FC15D8" w:rsidRDefault="000A2B8F">
      <w:pPr>
        <w:spacing w:after="0"/>
        <w:ind w:firstLine="240"/>
      </w:pPr>
      <w:bookmarkStart w:id="457" w:name="458"/>
      <w:bookmarkEnd w:id="45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14:paraId="51AA7EFE" w14:textId="77777777" w:rsidR="00FC15D8" w:rsidRDefault="000A2B8F">
      <w:pPr>
        <w:spacing w:after="0"/>
        <w:ind w:firstLine="240"/>
      </w:pPr>
      <w:bookmarkStart w:id="458" w:name="459"/>
      <w:bookmarkEnd w:id="4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14:paraId="14D6ACE5" w14:textId="77777777" w:rsidR="00FC15D8" w:rsidRDefault="000A2B8F">
      <w:pPr>
        <w:spacing w:after="0"/>
        <w:ind w:firstLine="240"/>
      </w:pPr>
      <w:bookmarkStart w:id="459" w:name="460"/>
      <w:bookmarkEnd w:id="4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0AB37FC6" w14:textId="77777777" w:rsidR="00FC15D8" w:rsidRDefault="000A2B8F">
      <w:pPr>
        <w:spacing w:after="0"/>
        <w:ind w:firstLine="240"/>
      </w:pPr>
      <w:bookmarkStart w:id="460" w:name="461"/>
      <w:bookmarkEnd w:id="4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0,3 %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23397359" w14:textId="77777777" w:rsidR="00FC15D8" w:rsidRDefault="000A2B8F">
      <w:pPr>
        <w:spacing w:after="0"/>
        <w:ind w:firstLine="240"/>
      </w:pPr>
      <w:bookmarkStart w:id="461" w:name="462"/>
      <w:bookmarkEnd w:id="4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1, 4, 6, 7, 9, 12, 13, 14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14:paraId="6E0ADB72" w14:textId="77777777" w:rsidR="00FC15D8" w:rsidRDefault="000A2B8F">
      <w:pPr>
        <w:spacing w:after="0"/>
        <w:ind w:firstLine="240"/>
      </w:pPr>
      <w:bookmarkStart w:id="462" w:name="463"/>
      <w:bookmarkEnd w:id="4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Щон</w:t>
      </w:r>
      <w:r>
        <w:rPr>
          <w:rFonts w:ascii="Arial"/>
          <w:color w:val="000000"/>
          <w:sz w:val="18"/>
        </w:rPr>
        <w:t>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14:paraId="31919482" w14:textId="77777777" w:rsidR="00FC15D8" w:rsidRDefault="000A2B8F">
      <w:pPr>
        <w:spacing w:after="0"/>
        <w:ind w:firstLine="240"/>
      </w:pPr>
      <w:bookmarkStart w:id="463" w:name="464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>;</w:t>
      </w:r>
    </w:p>
    <w:p w14:paraId="38FB0EE0" w14:textId="77777777" w:rsidR="00FC15D8" w:rsidRDefault="000A2B8F">
      <w:pPr>
        <w:spacing w:after="0"/>
        <w:ind w:firstLine="240"/>
      </w:pPr>
      <w:bookmarkStart w:id="464" w:name="465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12768470" w14:textId="77777777" w:rsidR="00FC15D8" w:rsidRDefault="000A2B8F">
      <w:pPr>
        <w:spacing w:after="0"/>
        <w:ind w:firstLine="240"/>
      </w:pPr>
      <w:bookmarkStart w:id="465" w:name="466"/>
      <w:bookmarkEnd w:id="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>;</w:t>
      </w:r>
    </w:p>
    <w:p w14:paraId="67C38717" w14:textId="77777777" w:rsidR="00FC15D8" w:rsidRDefault="000A2B8F">
      <w:pPr>
        <w:spacing w:after="0"/>
        <w:ind w:firstLine="240"/>
      </w:pPr>
      <w:bookmarkStart w:id="466" w:name="467"/>
      <w:bookmarkEnd w:id="4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5322655B" w14:textId="77777777" w:rsidR="00FC15D8" w:rsidRDefault="000A2B8F">
      <w:pPr>
        <w:spacing w:after="0"/>
        <w:ind w:firstLine="240"/>
      </w:pPr>
      <w:bookmarkStart w:id="467" w:name="468"/>
      <w:bookmarkEnd w:id="4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14:paraId="69973264" w14:textId="77777777" w:rsidR="00FC15D8" w:rsidRDefault="000A2B8F">
      <w:pPr>
        <w:spacing w:after="0"/>
        <w:ind w:firstLine="240"/>
      </w:pPr>
      <w:bookmarkStart w:id="468" w:name="469"/>
      <w:bookmarkEnd w:id="4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14:paraId="68751A77" w14:textId="77777777" w:rsidR="00FC15D8" w:rsidRDefault="000A2B8F">
      <w:pPr>
        <w:spacing w:after="0"/>
        <w:ind w:firstLine="240"/>
      </w:pPr>
      <w:bookmarkStart w:id="469" w:name="470"/>
      <w:bookmarkEnd w:id="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;</w:t>
      </w:r>
    </w:p>
    <w:p w14:paraId="6F8535E6" w14:textId="77777777" w:rsidR="00FC15D8" w:rsidRDefault="000A2B8F">
      <w:pPr>
        <w:spacing w:after="0"/>
        <w:ind w:firstLine="240"/>
      </w:pPr>
      <w:bookmarkStart w:id="470" w:name="471"/>
      <w:bookmarkEnd w:id="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4719D42" w14:textId="77777777" w:rsidR="00FC15D8" w:rsidRDefault="000A2B8F">
      <w:pPr>
        <w:spacing w:after="0"/>
        <w:ind w:firstLine="240"/>
      </w:pPr>
      <w:bookmarkStart w:id="471" w:name="472"/>
      <w:bookmarkEnd w:id="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75AACB9C" w14:textId="77777777" w:rsidR="00FC15D8" w:rsidRDefault="000A2B8F">
      <w:pPr>
        <w:spacing w:after="0"/>
        <w:ind w:firstLine="240"/>
      </w:pPr>
      <w:bookmarkStart w:id="472" w:name="473"/>
      <w:bookmarkEnd w:id="4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14:paraId="34520952" w14:textId="77777777" w:rsidR="00FC15D8" w:rsidRDefault="000A2B8F">
      <w:pPr>
        <w:spacing w:after="0"/>
        <w:ind w:firstLine="240"/>
      </w:pPr>
      <w:bookmarkStart w:id="473" w:name="474"/>
      <w:bookmarkEnd w:id="4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14:paraId="4A3C6D20" w14:textId="77777777" w:rsidR="00FC15D8" w:rsidRDefault="000A2B8F">
      <w:pPr>
        <w:spacing w:after="0"/>
        <w:ind w:firstLine="240"/>
      </w:pPr>
      <w:bookmarkStart w:id="474" w:name="475"/>
      <w:bookmarkEnd w:id="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0B333267" w14:textId="77777777" w:rsidR="00FC15D8" w:rsidRDefault="000A2B8F">
      <w:pPr>
        <w:spacing w:after="0"/>
        <w:ind w:firstLine="240"/>
      </w:pPr>
      <w:bookmarkStart w:id="475" w:name="476"/>
      <w:bookmarkEnd w:id="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462161B9" w14:textId="77777777" w:rsidR="00FC15D8" w:rsidRDefault="000A2B8F">
      <w:pPr>
        <w:spacing w:after="0"/>
        <w:ind w:firstLine="240"/>
      </w:pPr>
      <w:bookmarkStart w:id="476" w:name="477"/>
      <w:bookmarkEnd w:id="4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09AEDAEA" w14:textId="77777777" w:rsidR="00FC15D8" w:rsidRDefault="000A2B8F">
      <w:pPr>
        <w:spacing w:after="0"/>
        <w:ind w:firstLine="240"/>
      </w:pPr>
      <w:bookmarkStart w:id="477" w:name="478"/>
      <w:bookmarkEnd w:id="4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14:paraId="1410FB48" w14:textId="77777777" w:rsidR="00FC15D8" w:rsidRDefault="000A2B8F">
      <w:pPr>
        <w:spacing w:after="0"/>
        <w:ind w:firstLine="240"/>
      </w:pPr>
      <w:bookmarkStart w:id="478" w:name="479"/>
      <w:bookmarkEnd w:id="4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6A84BC71" w14:textId="77777777" w:rsidR="00FC15D8" w:rsidRDefault="000A2B8F">
      <w:pPr>
        <w:pStyle w:val="3"/>
        <w:spacing w:after="0"/>
        <w:jc w:val="center"/>
      </w:pPr>
      <w:bookmarkStart w:id="479" w:name="480"/>
      <w:bookmarkEnd w:id="478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</w:t>
      </w:r>
      <w:r>
        <w:rPr>
          <w:rFonts w:ascii="Arial"/>
          <w:color w:val="000000"/>
          <w:sz w:val="27"/>
        </w:rPr>
        <w:t>ика</w:t>
      </w:r>
    </w:p>
    <w:p w14:paraId="013E193D" w14:textId="77777777" w:rsidR="00FC15D8" w:rsidRDefault="000A2B8F">
      <w:pPr>
        <w:pStyle w:val="3"/>
        <w:spacing w:after="0"/>
        <w:jc w:val="center"/>
      </w:pPr>
      <w:bookmarkStart w:id="480" w:name="481"/>
      <w:bookmarkEnd w:id="479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учаснику</w:t>
      </w:r>
    </w:p>
    <w:p w14:paraId="465AF900" w14:textId="77777777" w:rsidR="00FC15D8" w:rsidRDefault="000A2B8F">
      <w:pPr>
        <w:spacing w:after="0"/>
        <w:ind w:firstLine="240"/>
      </w:pPr>
      <w:bookmarkStart w:id="481" w:name="482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2B0F458D" w14:textId="77777777" w:rsidR="00FC15D8" w:rsidRDefault="000A2B8F">
      <w:pPr>
        <w:spacing w:after="0"/>
        <w:ind w:firstLine="240"/>
      </w:pPr>
      <w:bookmarkStart w:id="482" w:name="483"/>
      <w:bookmarkEnd w:id="4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14:paraId="03EBFB48" w14:textId="77777777" w:rsidR="00FC15D8" w:rsidRDefault="000A2B8F">
      <w:pPr>
        <w:spacing w:after="0"/>
        <w:ind w:firstLine="240"/>
      </w:pPr>
      <w:bookmarkStart w:id="483" w:name="484"/>
      <w:bookmarkEnd w:id="482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7 - 8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14:paraId="0F13B075" w14:textId="77777777" w:rsidR="00FC15D8" w:rsidRDefault="000A2B8F">
      <w:pPr>
        <w:spacing w:after="0"/>
        <w:ind w:firstLine="240"/>
      </w:pPr>
      <w:bookmarkStart w:id="484" w:name="485"/>
      <w:bookmarkEnd w:id="483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14:paraId="01652DEF" w14:textId="77777777" w:rsidR="00FC15D8" w:rsidRDefault="000A2B8F">
      <w:pPr>
        <w:spacing w:after="0"/>
        <w:ind w:firstLine="240"/>
      </w:pPr>
      <w:bookmarkStart w:id="485" w:name="486"/>
      <w:bookmarkEnd w:id="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219FCA7F" w14:textId="77777777" w:rsidR="00FC15D8" w:rsidRDefault="000A2B8F">
      <w:pPr>
        <w:spacing w:after="0"/>
        <w:ind w:firstLine="240"/>
      </w:pPr>
      <w:bookmarkStart w:id="486" w:name="487"/>
      <w:bookmarkEnd w:id="4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14:paraId="0A28251C" w14:textId="77777777" w:rsidR="00FC15D8" w:rsidRDefault="000A2B8F">
      <w:pPr>
        <w:spacing w:after="0"/>
        <w:ind w:firstLine="240"/>
      </w:pPr>
      <w:bookmarkStart w:id="487" w:name="488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41246047" w14:textId="77777777" w:rsidR="00FC15D8" w:rsidRDefault="000A2B8F">
      <w:pPr>
        <w:spacing w:after="0"/>
        <w:ind w:firstLine="240"/>
      </w:pPr>
      <w:bookmarkStart w:id="488" w:name="489"/>
      <w:bookmarkEnd w:id="4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агляду</w:t>
      </w:r>
      <w:r>
        <w:rPr>
          <w:rFonts w:ascii="Arial"/>
          <w:color w:val="000000"/>
          <w:sz w:val="18"/>
        </w:rPr>
        <w:t>;</w:t>
      </w:r>
    </w:p>
    <w:p w14:paraId="2B8E4F5C" w14:textId="77777777" w:rsidR="00FC15D8" w:rsidRDefault="000A2B8F">
      <w:pPr>
        <w:spacing w:after="0"/>
        <w:ind w:firstLine="240"/>
      </w:pPr>
      <w:bookmarkStart w:id="489" w:name="490"/>
      <w:bookmarkEnd w:id="4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14:paraId="0D874A33" w14:textId="77777777" w:rsidR="00FC15D8" w:rsidRDefault="000A2B8F">
      <w:pPr>
        <w:spacing w:after="0"/>
        <w:ind w:firstLine="240"/>
      </w:pPr>
      <w:bookmarkStart w:id="490" w:name="491"/>
      <w:bookmarkEnd w:id="4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1A364ED6" w14:textId="77777777" w:rsidR="00FC15D8" w:rsidRDefault="000A2B8F">
      <w:pPr>
        <w:spacing w:after="0"/>
        <w:ind w:firstLine="240"/>
      </w:pPr>
      <w:bookmarkStart w:id="491" w:name="492"/>
      <w:bookmarkEnd w:id="4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307B2615" w14:textId="77777777" w:rsidR="00FC15D8" w:rsidRDefault="000A2B8F">
      <w:pPr>
        <w:spacing w:after="0"/>
        <w:ind w:firstLine="240"/>
      </w:pPr>
      <w:bookmarkStart w:id="492" w:name="493"/>
      <w:bookmarkEnd w:id="491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F70D243" w14:textId="77777777" w:rsidR="00FC15D8" w:rsidRDefault="000A2B8F">
      <w:pPr>
        <w:spacing w:after="0"/>
        <w:ind w:firstLine="240"/>
      </w:pPr>
      <w:bookmarkStart w:id="493" w:name="494"/>
      <w:bookmarkEnd w:id="492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14:paraId="263F3DFE" w14:textId="77777777" w:rsidR="00FC15D8" w:rsidRDefault="000A2B8F">
      <w:pPr>
        <w:spacing w:after="0"/>
        <w:ind w:firstLine="240"/>
      </w:pPr>
      <w:bookmarkStart w:id="494" w:name="495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аутсорсингу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6339F13E" w14:textId="77777777" w:rsidR="00FC15D8" w:rsidRDefault="000A2B8F">
      <w:pPr>
        <w:spacing w:after="0"/>
        <w:ind w:firstLine="240"/>
      </w:pPr>
      <w:bookmarkStart w:id="495" w:name="496"/>
      <w:bookmarkEnd w:id="494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0E8CBAA" w14:textId="77777777" w:rsidR="00FC15D8" w:rsidRDefault="000A2B8F">
      <w:pPr>
        <w:spacing w:after="0"/>
        <w:ind w:firstLine="240"/>
      </w:pPr>
      <w:bookmarkStart w:id="496" w:name="497"/>
      <w:bookmarkEnd w:id="4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14:paraId="3DDA0110" w14:textId="77777777" w:rsidR="00FC15D8" w:rsidRDefault="000A2B8F">
      <w:pPr>
        <w:spacing w:after="0"/>
        <w:ind w:firstLine="240"/>
      </w:pPr>
      <w:bookmarkStart w:id="497" w:name="498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</w:t>
      </w:r>
      <w:r>
        <w:rPr>
          <w:rFonts w:ascii="Arial"/>
          <w:color w:val="000000"/>
          <w:sz w:val="18"/>
        </w:rPr>
        <w:t>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6F67A783" w14:textId="77777777" w:rsidR="00FC15D8" w:rsidRDefault="000A2B8F">
      <w:pPr>
        <w:spacing w:after="0"/>
        <w:ind w:firstLine="240"/>
      </w:pPr>
      <w:bookmarkStart w:id="498" w:name="499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>;</w:t>
      </w:r>
    </w:p>
    <w:p w14:paraId="76925196" w14:textId="77777777" w:rsidR="00FC15D8" w:rsidRDefault="000A2B8F">
      <w:pPr>
        <w:spacing w:after="0"/>
        <w:ind w:firstLine="240"/>
      </w:pPr>
      <w:bookmarkStart w:id="499" w:name="500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задокументованою</w:t>
      </w:r>
      <w:r>
        <w:rPr>
          <w:rFonts w:ascii="Arial"/>
          <w:color w:val="000000"/>
          <w:sz w:val="18"/>
        </w:rPr>
        <w:t>;</w:t>
      </w:r>
    </w:p>
    <w:p w14:paraId="6650D137" w14:textId="77777777" w:rsidR="00FC15D8" w:rsidRDefault="000A2B8F">
      <w:pPr>
        <w:spacing w:after="0"/>
        <w:ind w:firstLine="240"/>
      </w:pPr>
      <w:bookmarkStart w:id="500" w:name="501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";</w:t>
      </w:r>
    </w:p>
    <w:p w14:paraId="45771035" w14:textId="77777777" w:rsidR="00FC15D8" w:rsidRDefault="000A2B8F">
      <w:pPr>
        <w:spacing w:after="0"/>
        <w:ind w:firstLine="240"/>
      </w:pPr>
      <w:bookmarkStart w:id="501" w:name="502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14:paraId="03B5AA4F" w14:textId="77777777" w:rsidR="00FC15D8" w:rsidRDefault="000A2B8F">
      <w:pPr>
        <w:spacing w:after="0"/>
        <w:ind w:firstLine="240"/>
      </w:pPr>
      <w:bookmarkStart w:id="502" w:name="503"/>
      <w:bookmarkEnd w:id="5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14:paraId="6B533F23" w14:textId="77777777" w:rsidR="00FC15D8" w:rsidRDefault="000A2B8F">
      <w:pPr>
        <w:spacing w:after="0"/>
        <w:ind w:firstLine="240"/>
      </w:pPr>
      <w:bookmarkStart w:id="503" w:name="504"/>
      <w:bookmarkEnd w:id="5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14:paraId="73AA0285" w14:textId="77777777" w:rsidR="00FC15D8" w:rsidRDefault="000A2B8F">
      <w:pPr>
        <w:spacing w:after="0"/>
        <w:ind w:firstLine="240"/>
      </w:pPr>
      <w:bookmarkStart w:id="504" w:name="505"/>
      <w:bookmarkEnd w:id="5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5C2F9C3B" w14:textId="77777777" w:rsidR="00FC15D8" w:rsidRDefault="000A2B8F">
      <w:pPr>
        <w:spacing w:after="0"/>
        <w:ind w:firstLine="240"/>
      </w:pPr>
      <w:bookmarkStart w:id="505" w:name="506"/>
      <w:bookmarkEnd w:id="5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;</w:t>
      </w:r>
    </w:p>
    <w:p w14:paraId="29895D46" w14:textId="77777777" w:rsidR="00FC15D8" w:rsidRDefault="000A2B8F">
      <w:pPr>
        <w:spacing w:after="0"/>
        <w:ind w:firstLine="240"/>
      </w:pPr>
      <w:bookmarkStart w:id="506" w:name="507"/>
      <w:bookmarkEnd w:id="50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15CC181B" w14:textId="77777777" w:rsidR="00FC15D8" w:rsidRDefault="000A2B8F">
      <w:pPr>
        <w:spacing w:after="0"/>
        <w:ind w:firstLine="240"/>
      </w:pPr>
      <w:bookmarkStart w:id="507" w:name="508"/>
      <w:bookmarkEnd w:id="5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14:paraId="51C576D6" w14:textId="77777777" w:rsidR="00FC15D8" w:rsidRDefault="000A2B8F">
      <w:pPr>
        <w:spacing w:after="0"/>
        <w:ind w:firstLine="240"/>
      </w:pPr>
      <w:bookmarkStart w:id="508" w:name="509"/>
      <w:bookmarkEnd w:id="5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);</w:t>
      </w:r>
    </w:p>
    <w:p w14:paraId="1F6CBDF8" w14:textId="77777777" w:rsidR="00FC15D8" w:rsidRDefault="000A2B8F">
      <w:pPr>
        <w:spacing w:after="0"/>
        <w:ind w:firstLine="240"/>
      </w:pPr>
      <w:bookmarkStart w:id="509" w:name="510"/>
      <w:bookmarkEnd w:id="5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29C09ED9" w14:textId="77777777" w:rsidR="00FC15D8" w:rsidRDefault="000A2B8F">
      <w:pPr>
        <w:spacing w:after="0"/>
        <w:ind w:firstLine="240"/>
      </w:pPr>
      <w:bookmarkStart w:id="510" w:name="511"/>
      <w:bookmarkEnd w:id="5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5D9AB6CF" w14:textId="77777777" w:rsidR="00FC15D8" w:rsidRDefault="000A2B8F">
      <w:pPr>
        <w:spacing w:after="0"/>
        <w:ind w:firstLine="240"/>
      </w:pPr>
      <w:bookmarkStart w:id="511" w:name="512"/>
      <w:bookmarkEnd w:id="5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>;</w:t>
      </w:r>
    </w:p>
    <w:p w14:paraId="13640416" w14:textId="77777777" w:rsidR="00FC15D8" w:rsidRDefault="000A2B8F">
      <w:pPr>
        <w:spacing w:after="0"/>
        <w:ind w:firstLine="240"/>
      </w:pPr>
      <w:bookmarkStart w:id="512" w:name="513"/>
      <w:bookmarkEnd w:id="5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апріорні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14:paraId="7EFD6E25" w14:textId="77777777" w:rsidR="00FC15D8" w:rsidRDefault="000A2B8F">
      <w:pPr>
        <w:spacing w:after="0"/>
        <w:ind w:firstLine="240"/>
      </w:pPr>
      <w:bookmarkStart w:id="513" w:name="514"/>
      <w:bookmarkEnd w:id="512"/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14:paraId="5B777D72" w14:textId="77777777" w:rsidR="00FC15D8" w:rsidRDefault="000A2B8F">
      <w:pPr>
        <w:spacing w:after="0"/>
        <w:ind w:firstLine="240"/>
      </w:pPr>
      <w:bookmarkStart w:id="514" w:name="515"/>
      <w:bookmarkEnd w:id="513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>).</w:t>
      </w:r>
    </w:p>
    <w:p w14:paraId="12146FEF" w14:textId="77777777" w:rsidR="00FC15D8" w:rsidRDefault="000A2B8F">
      <w:pPr>
        <w:spacing w:after="0"/>
        <w:ind w:firstLine="240"/>
      </w:pPr>
      <w:bookmarkStart w:id="515" w:name="516"/>
      <w:bookmarkEnd w:id="5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>.</w:t>
      </w:r>
    </w:p>
    <w:p w14:paraId="3516DE6B" w14:textId="77777777" w:rsidR="00FC15D8" w:rsidRDefault="000A2B8F">
      <w:pPr>
        <w:spacing w:after="0"/>
        <w:ind w:firstLine="240"/>
      </w:pPr>
      <w:bookmarkStart w:id="516" w:name="517"/>
      <w:bookmarkEnd w:id="515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:</w:t>
      </w:r>
    </w:p>
    <w:p w14:paraId="495F8A5C" w14:textId="77777777" w:rsidR="00FC15D8" w:rsidRDefault="000A2B8F">
      <w:pPr>
        <w:spacing w:after="0"/>
        <w:ind w:firstLine="240"/>
      </w:pPr>
      <w:bookmarkStart w:id="517" w:name="518"/>
      <w:bookmarkEnd w:id="516"/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критеріях</w:t>
      </w:r>
      <w:r>
        <w:rPr>
          <w:rFonts w:ascii="Arial"/>
          <w:color w:val="000000"/>
          <w:sz w:val="18"/>
        </w:rPr>
        <w:t>;</w:t>
      </w:r>
    </w:p>
    <w:p w14:paraId="714BBCF1" w14:textId="77777777" w:rsidR="00FC15D8" w:rsidRDefault="000A2B8F">
      <w:pPr>
        <w:spacing w:after="0"/>
        <w:ind w:firstLine="240"/>
      </w:pPr>
      <w:bookmarkStart w:id="518" w:name="519"/>
      <w:bookmarkEnd w:id="51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>;</w:t>
      </w:r>
    </w:p>
    <w:p w14:paraId="019C5B5F" w14:textId="77777777" w:rsidR="00FC15D8" w:rsidRDefault="000A2B8F">
      <w:pPr>
        <w:spacing w:after="0"/>
        <w:ind w:firstLine="240"/>
      </w:pPr>
      <w:bookmarkStart w:id="519" w:name="520"/>
      <w:bookmarkEnd w:id="51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;</w:t>
      </w:r>
    </w:p>
    <w:p w14:paraId="6669FBB0" w14:textId="77777777" w:rsidR="00FC15D8" w:rsidRDefault="000A2B8F">
      <w:pPr>
        <w:spacing w:after="0"/>
        <w:ind w:firstLine="240"/>
      </w:pPr>
      <w:bookmarkStart w:id="520" w:name="521"/>
      <w:bookmarkEnd w:id="519"/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14:paraId="0AE98747" w14:textId="77777777" w:rsidR="00FC15D8" w:rsidRDefault="000A2B8F">
      <w:pPr>
        <w:spacing w:after="0"/>
        <w:ind w:firstLine="240"/>
      </w:pPr>
      <w:bookmarkStart w:id="521" w:name="522"/>
      <w:bookmarkEnd w:id="52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14:paraId="3BF762CB" w14:textId="77777777" w:rsidR="00FC15D8" w:rsidRDefault="000A2B8F">
      <w:pPr>
        <w:spacing w:after="0"/>
        <w:ind w:firstLine="240"/>
      </w:pPr>
      <w:bookmarkStart w:id="522" w:name="523"/>
      <w:bookmarkEnd w:id="5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1C95E1D6" w14:textId="77777777" w:rsidR="00FC15D8" w:rsidRDefault="000A2B8F">
      <w:pPr>
        <w:spacing w:after="0"/>
        <w:ind w:firstLine="240"/>
      </w:pPr>
      <w:bookmarkStart w:id="523" w:name="524"/>
      <w:bookmarkEnd w:id="52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14:paraId="3D058B49" w14:textId="77777777" w:rsidR="00FC15D8" w:rsidRDefault="000A2B8F">
      <w:pPr>
        <w:spacing w:after="0"/>
        <w:ind w:firstLine="240"/>
      </w:pPr>
      <w:bookmarkStart w:id="524" w:name="525"/>
      <w:bookmarkEnd w:id="5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14:paraId="18BD405F" w14:textId="77777777" w:rsidR="00FC15D8" w:rsidRDefault="000A2B8F">
      <w:pPr>
        <w:spacing w:after="0"/>
        <w:ind w:firstLine="240"/>
      </w:pPr>
      <w:bookmarkStart w:id="525" w:name="526"/>
      <w:bookmarkEnd w:id="52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2F5B2F9D" w14:textId="77777777" w:rsidR="00FC15D8" w:rsidRDefault="000A2B8F">
      <w:pPr>
        <w:spacing w:after="0"/>
        <w:ind w:firstLine="240"/>
      </w:pPr>
      <w:bookmarkStart w:id="526" w:name="527"/>
      <w:bookmarkEnd w:id="525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).</w:t>
      </w:r>
    </w:p>
    <w:p w14:paraId="583E6F3A" w14:textId="77777777" w:rsidR="00FC15D8" w:rsidRDefault="000A2B8F">
      <w:pPr>
        <w:spacing w:after="0"/>
        <w:ind w:firstLine="240"/>
      </w:pPr>
      <w:bookmarkStart w:id="527" w:name="528"/>
      <w:bookmarkEnd w:id="52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6E3DF210" w14:textId="77777777" w:rsidR="00FC15D8" w:rsidRDefault="000A2B8F">
      <w:pPr>
        <w:spacing w:after="0"/>
        <w:ind w:firstLine="240"/>
      </w:pPr>
      <w:bookmarkStart w:id="528" w:name="529"/>
      <w:bookmarkEnd w:id="5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</w:t>
      </w:r>
      <w:r>
        <w:rPr>
          <w:rFonts w:ascii="Arial"/>
          <w:color w:val="000000"/>
          <w:sz w:val="18"/>
        </w:rPr>
        <w:t>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597C4287" w14:textId="77777777" w:rsidR="00FC15D8" w:rsidRDefault="000A2B8F">
      <w:pPr>
        <w:spacing w:after="0"/>
        <w:ind w:firstLine="240"/>
      </w:pPr>
      <w:bookmarkStart w:id="529" w:name="530"/>
      <w:bookmarkEnd w:id="5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14:paraId="0F11127B" w14:textId="77777777" w:rsidR="00FC15D8" w:rsidRDefault="000A2B8F">
      <w:pPr>
        <w:pStyle w:val="3"/>
        <w:spacing w:after="0"/>
        <w:jc w:val="center"/>
      </w:pPr>
      <w:bookmarkStart w:id="530" w:name="531"/>
      <w:bookmarkEnd w:id="529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14:paraId="1CFEBF91" w14:textId="77777777" w:rsidR="00FC15D8" w:rsidRDefault="000A2B8F">
      <w:pPr>
        <w:spacing w:after="0"/>
        <w:ind w:firstLine="240"/>
      </w:pPr>
      <w:bookmarkStart w:id="531" w:name="532"/>
      <w:bookmarkEnd w:id="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14:paraId="7407F111" w14:textId="77777777" w:rsidR="00FC15D8" w:rsidRDefault="000A2B8F">
      <w:pPr>
        <w:spacing w:after="0"/>
        <w:ind w:firstLine="240"/>
      </w:pPr>
      <w:bookmarkStart w:id="532" w:name="533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14:paraId="6FB81FBF" w14:textId="77777777" w:rsidR="00FC15D8" w:rsidRDefault="000A2B8F">
      <w:pPr>
        <w:spacing w:after="0"/>
        <w:ind w:firstLine="240"/>
      </w:pPr>
      <w:bookmarkStart w:id="533" w:name="534"/>
      <w:bookmarkEnd w:id="53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>.</w:t>
      </w:r>
    </w:p>
    <w:p w14:paraId="05A6C4EC" w14:textId="77777777" w:rsidR="00FC15D8" w:rsidRDefault="000A2B8F">
      <w:pPr>
        <w:spacing w:after="0"/>
        <w:ind w:firstLine="240"/>
      </w:pPr>
      <w:bookmarkStart w:id="534" w:name="535"/>
      <w:bookmarkEnd w:id="5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>.</w:t>
      </w:r>
    </w:p>
    <w:p w14:paraId="69DD3FD0" w14:textId="77777777" w:rsidR="00FC15D8" w:rsidRDefault="000A2B8F">
      <w:pPr>
        <w:spacing w:after="0"/>
        <w:ind w:firstLine="240"/>
      </w:pPr>
      <w:bookmarkStart w:id="535" w:name="536"/>
      <w:bookmarkEnd w:id="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67E60399" w14:textId="77777777" w:rsidR="00FC15D8" w:rsidRDefault="000A2B8F">
      <w:pPr>
        <w:spacing w:after="0"/>
        <w:ind w:firstLine="240"/>
      </w:pPr>
      <w:bookmarkStart w:id="536" w:name="537"/>
      <w:bookmarkEnd w:id="53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14:paraId="7E24FA24" w14:textId="77777777" w:rsidR="00FC15D8" w:rsidRDefault="000A2B8F">
      <w:pPr>
        <w:spacing w:after="0"/>
        <w:ind w:firstLine="240"/>
      </w:pPr>
      <w:bookmarkStart w:id="537" w:name="538"/>
      <w:bookmarkEnd w:id="536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</w:p>
    <w:p w14:paraId="6B9D370E" w14:textId="77777777" w:rsidR="00FC15D8" w:rsidRDefault="000A2B8F">
      <w:pPr>
        <w:spacing w:after="0"/>
        <w:ind w:firstLine="240"/>
      </w:pPr>
      <w:bookmarkStart w:id="538" w:name="539"/>
      <w:bookmarkEnd w:id="53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14:paraId="0955F738" w14:textId="77777777" w:rsidR="00FC15D8" w:rsidRDefault="000A2B8F">
      <w:pPr>
        <w:spacing w:after="0"/>
        <w:ind w:firstLine="240"/>
      </w:pPr>
      <w:bookmarkStart w:id="539" w:name="540"/>
      <w:bookmarkEnd w:id="5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41F9DECF" w14:textId="77777777" w:rsidR="00FC15D8" w:rsidRDefault="000A2B8F">
      <w:pPr>
        <w:spacing w:after="0"/>
        <w:ind w:firstLine="240"/>
      </w:pPr>
      <w:bookmarkStart w:id="540" w:name="541"/>
      <w:bookmarkEnd w:id="539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29E57F45" w14:textId="77777777" w:rsidR="00FC15D8" w:rsidRDefault="000A2B8F">
      <w:pPr>
        <w:spacing w:after="0"/>
        <w:ind w:firstLine="240"/>
      </w:pPr>
      <w:bookmarkStart w:id="541" w:name="542"/>
      <w:bookmarkEnd w:id="5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14:paraId="64504C43" w14:textId="77777777" w:rsidR="00FC15D8" w:rsidRDefault="000A2B8F">
      <w:pPr>
        <w:spacing w:after="0"/>
        <w:ind w:firstLine="240"/>
      </w:pPr>
      <w:bookmarkStart w:id="542" w:name="543"/>
      <w:bookmarkEnd w:id="5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).</w:t>
      </w:r>
    </w:p>
    <w:p w14:paraId="778A8A24" w14:textId="77777777" w:rsidR="00FC15D8" w:rsidRDefault="000A2B8F">
      <w:pPr>
        <w:spacing w:after="0"/>
        <w:ind w:firstLine="240"/>
      </w:pPr>
      <w:bookmarkStart w:id="543" w:name="544"/>
      <w:bookmarkEnd w:id="5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).</w:t>
      </w:r>
    </w:p>
    <w:p w14:paraId="18E2852F" w14:textId="77777777" w:rsidR="00FC15D8" w:rsidRDefault="000A2B8F">
      <w:pPr>
        <w:spacing w:after="0"/>
        <w:ind w:firstLine="240"/>
      </w:pPr>
      <w:bookmarkStart w:id="544" w:name="545"/>
      <w:bookmarkEnd w:id="5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451C2A86" w14:textId="77777777" w:rsidR="00FC15D8" w:rsidRDefault="000A2B8F">
      <w:pPr>
        <w:spacing w:after="0"/>
        <w:ind w:firstLine="240"/>
      </w:pPr>
      <w:bookmarkStart w:id="545" w:name="546"/>
      <w:bookmarkEnd w:id="5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:</w:t>
      </w:r>
    </w:p>
    <w:p w14:paraId="64983756" w14:textId="77777777" w:rsidR="00FC15D8" w:rsidRDefault="000A2B8F">
      <w:pPr>
        <w:spacing w:after="0"/>
        <w:ind w:firstLine="240"/>
      </w:pPr>
      <w:bookmarkStart w:id="546" w:name="547"/>
      <w:bookmarkEnd w:id="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);</w:t>
      </w:r>
    </w:p>
    <w:p w14:paraId="3E8FC438" w14:textId="77777777" w:rsidR="00FC15D8" w:rsidRDefault="000A2B8F">
      <w:pPr>
        <w:spacing w:after="0"/>
        <w:ind w:firstLine="240"/>
      </w:pPr>
      <w:bookmarkStart w:id="547" w:name="548"/>
      <w:bookmarkEnd w:id="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14:paraId="2C677A5A" w14:textId="77777777" w:rsidR="00FC15D8" w:rsidRDefault="000A2B8F">
      <w:pPr>
        <w:spacing w:after="0"/>
        <w:ind w:firstLine="240"/>
      </w:pPr>
      <w:bookmarkStart w:id="548" w:name="549"/>
      <w:bookmarkEnd w:id="5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14:paraId="18CD98A7" w14:textId="77777777" w:rsidR="00FC15D8" w:rsidRDefault="000A2B8F">
      <w:pPr>
        <w:spacing w:after="0"/>
        <w:ind w:firstLine="240"/>
      </w:pPr>
      <w:bookmarkStart w:id="549" w:name="550"/>
      <w:bookmarkEnd w:id="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</w:t>
      </w:r>
      <w:r>
        <w:rPr>
          <w:rFonts w:ascii="Arial"/>
          <w:color w:val="000000"/>
          <w:sz w:val="18"/>
        </w:rPr>
        <w:t>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14:paraId="2265FCDC" w14:textId="77777777" w:rsidR="00FC15D8" w:rsidRDefault="000A2B8F">
      <w:pPr>
        <w:spacing w:after="0"/>
        <w:ind w:firstLine="240"/>
      </w:pPr>
      <w:bookmarkStart w:id="550" w:name="551"/>
      <w:bookmarkEnd w:id="54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14:paraId="3DA2549F" w14:textId="77777777" w:rsidR="00FC15D8" w:rsidRDefault="000A2B8F">
      <w:pPr>
        <w:spacing w:after="0"/>
        <w:ind w:firstLine="240"/>
      </w:pPr>
      <w:bookmarkStart w:id="551" w:name="552"/>
      <w:bookmarkEnd w:id="55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1795234B" w14:textId="77777777" w:rsidR="00FC15D8" w:rsidRDefault="000A2B8F">
      <w:pPr>
        <w:spacing w:after="0"/>
        <w:ind w:firstLine="240"/>
      </w:pPr>
      <w:bookmarkStart w:id="552" w:name="553"/>
      <w:bookmarkEnd w:id="55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hoc).</w:t>
      </w:r>
    </w:p>
    <w:p w14:paraId="4F77AB51" w14:textId="77777777" w:rsidR="00FC15D8" w:rsidRDefault="000A2B8F">
      <w:pPr>
        <w:spacing w:after="0"/>
        <w:ind w:firstLine="240"/>
      </w:pPr>
      <w:bookmarkStart w:id="553" w:name="554"/>
      <w:bookmarkEnd w:id="5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3CF42FAC" w14:textId="77777777" w:rsidR="00FC15D8" w:rsidRDefault="000A2B8F">
      <w:pPr>
        <w:spacing w:after="0"/>
        <w:ind w:firstLine="240"/>
      </w:pPr>
      <w:bookmarkStart w:id="554" w:name="555"/>
      <w:bookmarkEnd w:id="55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ED5ACE0" w14:textId="77777777" w:rsidR="00FC15D8" w:rsidRDefault="000A2B8F">
      <w:pPr>
        <w:spacing w:after="0"/>
        <w:ind w:firstLine="240"/>
      </w:pPr>
      <w:bookmarkStart w:id="555" w:name="556"/>
      <w:bookmarkEnd w:id="554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апріорного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665613F2" w14:textId="77777777" w:rsidR="00FC15D8" w:rsidRDefault="000A2B8F">
      <w:pPr>
        <w:spacing w:after="0"/>
        <w:ind w:firstLine="240"/>
      </w:pPr>
      <w:bookmarkStart w:id="556" w:name="557"/>
      <w:bookmarkEnd w:id="55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14:paraId="0F480D73" w14:textId="77777777" w:rsidR="00FC15D8" w:rsidRDefault="000A2B8F">
      <w:pPr>
        <w:spacing w:after="0"/>
        <w:ind w:firstLine="240"/>
      </w:pPr>
      <w:bookmarkStart w:id="557" w:name="558"/>
      <w:bookmarkEnd w:id="55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14:paraId="5A38A2C8" w14:textId="77777777" w:rsidR="00FC15D8" w:rsidRDefault="000A2B8F">
      <w:pPr>
        <w:spacing w:after="0"/>
        <w:ind w:firstLine="240"/>
      </w:pPr>
      <w:bookmarkStart w:id="558" w:name="559"/>
      <w:bookmarkEnd w:id="55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49C9C0BA" w14:textId="77777777" w:rsidR="00FC15D8" w:rsidRDefault="000A2B8F">
      <w:pPr>
        <w:spacing w:after="0"/>
        <w:ind w:firstLine="240"/>
      </w:pPr>
      <w:bookmarkStart w:id="559" w:name="560"/>
      <w:bookmarkEnd w:id="5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14:paraId="5BF372E4" w14:textId="77777777" w:rsidR="00FC15D8" w:rsidRDefault="000A2B8F">
      <w:pPr>
        <w:spacing w:after="0"/>
        <w:ind w:firstLine="240"/>
      </w:pPr>
      <w:bookmarkStart w:id="560" w:name="561"/>
      <w:bookmarkEnd w:id="55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>.</w:t>
      </w:r>
    </w:p>
    <w:p w14:paraId="258B6E12" w14:textId="77777777" w:rsidR="00FC15D8" w:rsidRDefault="000A2B8F">
      <w:pPr>
        <w:spacing w:after="0"/>
        <w:ind w:firstLine="240"/>
      </w:pPr>
      <w:bookmarkStart w:id="561" w:name="562"/>
      <w:bookmarkEnd w:id="560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14:paraId="710A68D3" w14:textId="77777777" w:rsidR="00FC15D8" w:rsidRDefault="000A2B8F">
      <w:pPr>
        <w:spacing w:after="0"/>
        <w:ind w:firstLine="240"/>
      </w:pPr>
      <w:bookmarkStart w:id="562" w:name="563"/>
      <w:bookmarkEnd w:id="561"/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14:paraId="37646103" w14:textId="77777777" w:rsidR="00FC15D8" w:rsidRDefault="000A2B8F">
      <w:pPr>
        <w:spacing w:after="0"/>
        <w:ind w:firstLine="240"/>
      </w:pPr>
      <w:bookmarkStart w:id="563" w:name="564"/>
      <w:bookmarkEnd w:id="562"/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14:paraId="20EA7B65" w14:textId="77777777" w:rsidR="00FC15D8" w:rsidRDefault="000A2B8F">
      <w:pPr>
        <w:spacing w:after="0"/>
        <w:ind w:firstLine="240"/>
      </w:pPr>
      <w:bookmarkStart w:id="564" w:name="565"/>
      <w:bookmarkEnd w:id="56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14:paraId="5E8C9A38" w14:textId="77777777" w:rsidR="00FC15D8" w:rsidRDefault="000A2B8F">
      <w:pPr>
        <w:pStyle w:val="3"/>
        <w:spacing w:after="0"/>
        <w:jc w:val="center"/>
      </w:pPr>
      <w:bookmarkStart w:id="565" w:name="566"/>
      <w:bookmarkEnd w:id="564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53054FF4" w14:textId="77777777" w:rsidR="00FC15D8" w:rsidRDefault="000A2B8F">
      <w:pPr>
        <w:spacing w:after="0"/>
        <w:ind w:firstLine="240"/>
      </w:pPr>
      <w:bookmarkStart w:id="566" w:name="567"/>
      <w:bookmarkEnd w:id="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:</w:t>
      </w:r>
    </w:p>
    <w:p w14:paraId="0DD915EA" w14:textId="77777777" w:rsidR="00FC15D8" w:rsidRDefault="000A2B8F">
      <w:pPr>
        <w:spacing w:after="0"/>
        <w:ind w:firstLine="240"/>
      </w:pPr>
      <w:bookmarkStart w:id="567" w:name="568"/>
      <w:bookmarkEnd w:id="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14:paraId="5C2A766A" w14:textId="77777777" w:rsidR="00FC15D8" w:rsidRDefault="000A2B8F">
      <w:pPr>
        <w:spacing w:after="0"/>
        <w:ind w:firstLine="240"/>
      </w:pPr>
      <w:bookmarkStart w:id="568" w:name="569"/>
      <w:bookmarkEnd w:id="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>.</w:t>
      </w:r>
    </w:p>
    <w:p w14:paraId="640DBA7D" w14:textId="77777777" w:rsidR="00FC15D8" w:rsidRDefault="000A2B8F">
      <w:pPr>
        <w:spacing w:after="0"/>
        <w:ind w:firstLine="240"/>
      </w:pPr>
      <w:bookmarkStart w:id="569" w:name="570"/>
      <w:bookmarkEnd w:id="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:</w:t>
      </w:r>
    </w:p>
    <w:p w14:paraId="7DB84285" w14:textId="77777777" w:rsidR="00FC15D8" w:rsidRDefault="000A2B8F">
      <w:pPr>
        <w:spacing w:after="0"/>
        <w:ind w:firstLine="240"/>
      </w:pPr>
      <w:bookmarkStart w:id="570" w:name="571"/>
      <w:bookmarkEnd w:id="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14:paraId="20DCE4D9" w14:textId="77777777" w:rsidR="00FC15D8" w:rsidRDefault="000A2B8F">
      <w:pPr>
        <w:spacing w:after="0"/>
        <w:ind w:firstLine="240"/>
      </w:pPr>
      <w:bookmarkStart w:id="571" w:name="572"/>
      <w:bookmarkEnd w:id="5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>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55442E79" w14:textId="77777777" w:rsidR="00FC15D8" w:rsidRDefault="000A2B8F">
      <w:pPr>
        <w:spacing w:after="0"/>
        <w:ind w:firstLine="240"/>
      </w:pPr>
      <w:bookmarkStart w:id="572" w:name="573"/>
      <w:bookmarkEnd w:id="5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14:paraId="33B7C966" w14:textId="77777777" w:rsidR="00FC15D8" w:rsidRDefault="000A2B8F">
      <w:pPr>
        <w:spacing w:after="0"/>
        <w:ind w:firstLine="240"/>
      </w:pPr>
      <w:bookmarkStart w:id="573" w:name="574"/>
      <w:bookmarkEnd w:id="5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14:paraId="2CB6280C" w14:textId="77777777" w:rsidR="00FC15D8" w:rsidRDefault="000A2B8F">
      <w:pPr>
        <w:spacing w:after="0"/>
        <w:ind w:firstLine="240"/>
      </w:pPr>
      <w:bookmarkStart w:id="574" w:name="575"/>
      <w:bookmarkEnd w:id="5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);</w:t>
      </w:r>
    </w:p>
    <w:p w14:paraId="632B0D9A" w14:textId="77777777" w:rsidR="00FC15D8" w:rsidRDefault="000A2B8F">
      <w:pPr>
        <w:spacing w:after="0"/>
        <w:ind w:firstLine="240"/>
      </w:pPr>
      <w:bookmarkStart w:id="575" w:name="576"/>
      <w:bookmarkEnd w:id="5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5B5C476" w14:textId="77777777" w:rsidR="00FC15D8" w:rsidRDefault="000A2B8F">
      <w:pPr>
        <w:spacing w:after="0"/>
        <w:ind w:firstLine="240"/>
      </w:pPr>
      <w:bookmarkStart w:id="576" w:name="577"/>
      <w:bookmarkEnd w:id="5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14:paraId="293E8B7B" w14:textId="77777777" w:rsidR="00FC15D8" w:rsidRDefault="000A2B8F">
      <w:pPr>
        <w:spacing w:after="0"/>
        <w:ind w:firstLine="240"/>
      </w:pPr>
      <w:bookmarkStart w:id="577" w:name="578"/>
      <w:bookmarkEnd w:id="57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;</w:t>
      </w:r>
    </w:p>
    <w:p w14:paraId="5F79B264" w14:textId="77777777" w:rsidR="00FC15D8" w:rsidRDefault="000A2B8F">
      <w:pPr>
        <w:spacing w:after="0"/>
        <w:ind w:firstLine="240"/>
      </w:pPr>
      <w:bookmarkStart w:id="578" w:name="579"/>
      <w:bookmarkEnd w:id="57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5ABD95D2" w14:textId="77777777" w:rsidR="00FC15D8" w:rsidRDefault="000A2B8F">
      <w:pPr>
        <w:spacing w:after="0"/>
        <w:ind w:firstLine="240"/>
      </w:pPr>
      <w:bookmarkStart w:id="579" w:name="580"/>
      <w:bookmarkEnd w:id="57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;</w:t>
      </w:r>
    </w:p>
    <w:p w14:paraId="36297DEB" w14:textId="77777777" w:rsidR="00FC15D8" w:rsidRDefault="000A2B8F">
      <w:pPr>
        <w:spacing w:after="0"/>
        <w:ind w:firstLine="240"/>
      </w:pPr>
      <w:bookmarkStart w:id="580" w:name="581"/>
      <w:bookmarkEnd w:id="57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70D07809" w14:textId="77777777" w:rsidR="00FC15D8" w:rsidRDefault="000A2B8F">
      <w:pPr>
        <w:spacing w:after="0"/>
        <w:ind w:firstLine="240"/>
      </w:pPr>
      <w:bookmarkStart w:id="581" w:name="582"/>
      <w:bookmarkEnd w:id="58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щонай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40 %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0899DF0B" w14:textId="77777777" w:rsidR="00FC15D8" w:rsidRDefault="000A2B8F">
      <w:pPr>
        <w:spacing w:after="0"/>
        <w:ind w:firstLine="240"/>
      </w:pPr>
      <w:bookmarkStart w:id="582" w:name="583"/>
      <w:bookmarkEnd w:id="58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14:paraId="120E6085" w14:textId="77777777" w:rsidR="00FC15D8" w:rsidRDefault="000A2B8F">
      <w:pPr>
        <w:spacing w:after="0"/>
        <w:ind w:firstLine="240"/>
      </w:pPr>
      <w:bookmarkStart w:id="583" w:name="584"/>
      <w:bookmarkEnd w:id="58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4C9998A5" w14:textId="77777777" w:rsidR="00FC15D8" w:rsidRDefault="000A2B8F">
      <w:pPr>
        <w:spacing w:after="0"/>
        <w:ind w:firstLine="240"/>
      </w:pPr>
      <w:bookmarkStart w:id="584" w:name="585"/>
      <w:bookmarkEnd w:id="58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14:paraId="3B81D2F9" w14:textId="77777777" w:rsidR="00FC15D8" w:rsidRDefault="000A2B8F">
      <w:pPr>
        <w:spacing w:after="0"/>
        <w:ind w:firstLine="240"/>
      </w:pPr>
      <w:bookmarkStart w:id="585" w:name="586"/>
      <w:bookmarkEnd w:id="58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E877CE9" w14:textId="77777777" w:rsidR="00FC15D8" w:rsidRDefault="000A2B8F">
      <w:pPr>
        <w:spacing w:after="0"/>
        <w:ind w:firstLine="240"/>
      </w:pPr>
      <w:bookmarkStart w:id="586" w:name="587"/>
      <w:bookmarkEnd w:id="58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14:paraId="2ECFEA69" w14:textId="77777777" w:rsidR="00FC15D8" w:rsidRDefault="000A2B8F">
      <w:pPr>
        <w:spacing w:after="0"/>
        <w:ind w:firstLine="240"/>
      </w:pPr>
      <w:bookmarkStart w:id="587" w:name="588"/>
      <w:bookmarkEnd w:id="58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9608A0B" w14:textId="77777777" w:rsidR="00FC15D8" w:rsidRDefault="000A2B8F">
      <w:pPr>
        <w:spacing w:after="0"/>
        <w:ind w:firstLine="240"/>
      </w:pPr>
      <w:bookmarkStart w:id="588" w:name="589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14:paraId="079CC847" w14:textId="77777777" w:rsidR="00FC15D8" w:rsidRDefault="000A2B8F">
      <w:pPr>
        <w:spacing w:after="0"/>
        <w:ind w:firstLine="240"/>
      </w:pPr>
      <w:bookmarkStart w:id="589" w:name="590"/>
      <w:bookmarkEnd w:id="5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14:paraId="24BBFE12" w14:textId="77777777" w:rsidR="00FC15D8" w:rsidRDefault="000A2B8F">
      <w:pPr>
        <w:spacing w:after="0"/>
        <w:ind w:firstLine="240"/>
      </w:pPr>
      <w:bookmarkStart w:id="590" w:name="591"/>
      <w:bookmarkEnd w:id="5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14:paraId="5B0ECDCE" w14:textId="77777777" w:rsidR="00FC15D8" w:rsidRDefault="000A2B8F">
      <w:pPr>
        <w:spacing w:after="0"/>
        <w:ind w:firstLine="240"/>
      </w:pPr>
      <w:bookmarkStart w:id="591" w:name="592"/>
      <w:bookmarkEnd w:id="590"/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14:paraId="61FA4CCC" w14:textId="77777777" w:rsidR="00FC15D8" w:rsidRDefault="000A2B8F">
      <w:pPr>
        <w:pStyle w:val="3"/>
        <w:spacing w:after="0"/>
        <w:jc w:val="center"/>
      </w:pPr>
      <w:bookmarkStart w:id="592" w:name="593"/>
      <w:bookmarkEnd w:id="591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14:paraId="5A611CB4" w14:textId="77777777" w:rsidR="00FC15D8" w:rsidRDefault="000A2B8F">
      <w:pPr>
        <w:spacing w:after="0"/>
        <w:ind w:firstLine="240"/>
      </w:pPr>
      <w:bookmarkStart w:id="593" w:name="594"/>
      <w:bookmarkEnd w:id="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5A970320" w14:textId="77777777" w:rsidR="00FC15D8" w:rsidRDefault="000A2B8F">
      <w:pPr>
        <w:spacing w:after="0"/>
        <w:ind w:firstLine="240"/>
      </w:pPr>
      <w:bookmarkStart w:id="594" w:name="595"/>
      <w:bookmarkEnd w:id="5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E5FC561" w14:textId="77777777" w:rsidR="00FC15D8" w:rsidRDefault="000A2B8F">
      <w:pPr>
        <w:spacing w:after="0"/>
        <w:ind w:firstLine="240"/>
      </w:pPr>
      <w:bookmarkStart w:id="595" w:name="596"/>
      <w:bookmarkEnd w:id="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6B240383" w14:textId="77777777" w:rsidR="00FC15D8" w:rsidRDefault="000A2B8F">
      <w:pPr>
        <w:spacing w:after="0"/>
        <w:ind w:firstLine="240"/>
      </w:pPr>
      <w:bookmarkStart w:id="596" w:name="597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14:paraId="5FA79A5F" w14:textId="77777777" w:rsidR="00FC15D8" w:rsidRDefault="000A2B8F">
      <w:pPr>
        <w:spacing w:after="0"/>
        <w:ind w:firstLine="240"/>
      </w:pPr>
      <w:bookmarkStart w:id="597" w:name="598"/>
      <w:bookmarkEnd w:id="5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3BDA0A00" w14:textId="77777777" w:rsidR="00FC15D8" w:rsidRDefault="000A2B8F">
      <w:pPr>
        <w:pStyle w:val="3"/>
        <w:spacing w:after="0"/>
        <w:jc w:val="center"/>
      </w:pPr>
      <w:bookmarkStart w:id="598" w:name="599"/>
      <w:bookmarkEnd w:id="597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14:paraId="36BE7386" w14:textId="77777777" w:rsidR="00FC15D8" w:rsidRDefault="000A2B8F">
      <w:pPr>
        <w:spacing w:after="0"/>
        <w:ind w:firstLine="240"/>
      </w:pPr>
      <w:bookmarkStart w:id="599" w:name="600"/>
      <w:bookmarkEnd w:id="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4362A722" w14:textId="77777777" w:rsidR="00FC15D8" w:rsidRDefault="000A2B8F">
      <w:pPr>
        <w:spacing w:after="0"/>
        <w:ind w:firstLine="240"/>
      </w:pPr>
      <w:bookmarkStart w:id="600" w:name="601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14:paraId="3AB299D2" w14:textId="77777777" w:rsidR="00FC15D8" w:rsidRDefault="000A2B8F">
      <w:pPr>
        <w:pStyle w:val="3"/>
        <w:spacing w:after="0"/>
        <w:jc w:val="center"/>
      </w:pPr>
      <w:bookmarkStart w:id="601" w:name="602"/>
      <w:bookmarkEnd w:id="600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70C3D84A" w14:textId="77777777" w:rsidR="00FC15D8" w:rsidRDefault="000A2B8F">
      <w:pPr>
        <w:spacing w:after="0"/>
        <w:ind w:firstLine="240"/>
      </w:pPr>
      <w:bookmarkStart w:id="602" w:name="603"/>
      <w:bookmarkEnd w:id="6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14:paraId="244D8845" w14:textId="77777777" w:rsidR="00FC15D8" w:rsidRDefault="000A2B8F">
      <w:pPr>
        <w:spacing w:after="0"/>
        <w:ind w:firstLine="240"/>
      </w:pPr>
      <w:bookmarkStart w:id="603" w:name="604"/>
      <w:bookmarkEnd w:id="6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комплаєнсу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4D717C6F" w14:textId="77777777" w:rsidR="00FC15D8" w:rsidRDefault="000A2B8F">
      <w:pPr>
        <w:spacing w:after="0"/>
        <w:ind w:firstLine="240"/>
      </w:pPr>
      <w:bookmarkStart w:id="604" w:name="605"/>
      <w:bookmarkEnd w:id="6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.</w:t>
      </w:r>
    </w:p>
    <w:p w14:paraId="15BF7F1A" w14:textId="77777777" w:rsidR="00FC15D8" w:rsidRDefault="000A2B8F">
      <w:pPr>
        <w:pStyle w:val="3"/>
        <w:spacing w:after="0"/>
        <w:jc w:val="center"/>
      </w:pPr>
      <w:bookmarkStart w:id="605" w:name="606"/>
      <w:bookmarkEnd w:id="604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14:paraId="6E7BB493" w14:textId="77777777" w:rsidR="00FC15D8" w:rsidRDefault="000A2B8F">
      <w:pPr>
        <w:spacing w:after="0"/>
        <w:ind w:firstLine="240"/>
      </w:pPr>
      <w:bookmarkStart w:id="606" w:name="607"/>
      <w:bookmarkEnd w:id="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1ACB6B15" w14:textId="77777777" w:rsidR="00FC15D8" w:rsidRDefault="000A2B8F">
      <w:pPr>
        <w:spacing w:after="0"/>
        <w:ind w:firstLine="240"/>
      </w:pPr>
      <w:bookmarkStart w:id="607" w:name="608"/>
      <w:bookmarkEnd w:id="606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08D7CBE4" w14:textId="77777777" w:rsidR="00FC15D8" w:rsidRDefault="000A2B8F">
      <w:pPr>
        <w:spacing w:after="0"/>
        <w:ind w:firstLine="240"/>
      </w:pPr>
      <w:bookmarkStart w:id="608" w:name="609"/>
      <w:bookmarkEnd w:id="607"/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Опціони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59B59356" w14:textId="77777777" w:rsidR="00FC15D8" w:rsidRDefault="000A2B8F">
      <w:pPr>
        <w:spacing w:after="0"/>
        <w:ind w:firstLine="240"/>
      </w:pPr>
      <w:bookmarkStart w:id="609" w:name="610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14:paraId="25E23C36" w14:textId="77777777" w:rsidR="00FC15D8" w:rsidRDefault="000A2B8F">
      <w:pPr>
        <w:spacing w:after="0"/>
        <w:ind w:firstLine="240"/>
      </w:pPr>
      <w:bookmarkStart w:id="610" w:name="611"/>
      <w:bookmarkEnd w:id="6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14:paraId="732CA1A8" w14:textId="77777777" w:rsidR="00FC15D8" w:rsidRDefault="000A2B8F">
      <w:pPr>
        <w:spacing w:after="0"/>
        <w:ind w:firstLine="240"/>
      </w:pPr>
      <w:bookmarkStart w:id="611" w:name="612"/>
      <w:bookmarkEnd w:id="6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:</w:t>
      </w:r>
    </w:p>
    <w:p w14:paraId="12429329" w14:textId="77777777" w:rsidR="00FC15D8" w:rsidRDefault="000A2B8F">
      <w:pPr>
        <w:spacing w:after="0"/>
        <w:ind w:firstLine="240"/>
      </w:pPr>
      <w:bookmarkStart w:id="612" w:name="613"/>
      <w:bookmarkEnd w:id="6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>;</w:t>
      </w:r>
    </w:p>
    <w:p w14:paraId="1F143961" w14:textId="77777777" w:rsidR="00FC15D8" w:rsidRDefault="000A2B8F">
      <w:pPr>
        <w:spacing w:after="0"/>
        <w:ind w:firstLine="240"/>
      </w:pPr>
      <w:bookmarkStart w:id="613" w:name="614"/>
      <w:bookmarkEnd w:id="6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14:paraId="65E9FB87" w14:textId="77777777" w:rsidR="00FC15D8" w:rsidRDefault="000A2B8F">
      <w:pPr>
        <w:spacing w:after="0"/>
        <w:ind w:firstLine="240"/>
      </w:pPr>
      <w:bookmarkStart w:id="614" w:name="615"/>
      <w:bookmarkEnd w:id="6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варанту</w:t>
      </w:r>
      <w:r>
        <w:rPr>
          <w:rFonts w:ascii="Arial"/>
          <w:color w:val="000000"/>
          <w:sz w:val="18"/>
        </w:rPr>
        <w:t>;</w:t>
      </w:r>
    </w:p>
    <w:p w14:paraId="5C635A36" w14:textId="77777777" w:rsidR="00FC15D8" w:rsidRDefault="000A2B8F">
      <w:pPr>
        <w:spacing w:after="0"/>
        <w:ind w:firstLine="240"/>
      </w:pPr>
      <w:bookmarkStart w:id="615" w:name="616"/>
      <w:bookmarkEnd w:id="6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варанту</w:t>
      </w:r>
      <w:r>
        <w:rPr>
          <w:rFonts w:ascii="Arial"/>
          <w:color w:val="000000"/>
          <w:sz w:val="18"/>
        </w:rPr>
        <w:t>;</w:t>
      </w:r>
    </w:p>
    <w:p w14:paraId="6A88A03B" w14:textId="77777777" w:rsidR="00FC15D8" w:rsidRDefault="000A2B8F">
      <w:pPr>
        <w:spacing w:after="0"/>
        <w:ind w:firstLine="240"/>
      </w:pPr>
      <w:bookmarkStart w:id="616" w:name="617"/>
      <w:bookmarkEnd w:id="6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1677F6BD" w14:textId="77777777" w:rsidR="00FC15D8" w:rsidRDefault="000A2B8F">
      <w:pPr>
        <w:spacing w:after="0"/>
        <w:ind w:firstLine="240"/>
      </w:pPr>
      <w:bookmarkStart w:id="617" w:name="618"/>
      <w:bookmarkEnd w:id="6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>.</w:t>
      </w:r>
    </w:p>
    <w:p w14:paraId="13417B71" w14:textId="77777777" w:rsidR="00FC15D8" w:rsidRDefault="000A2B8F">
      <w:pPr>
        <w:spacing w:after="0"/>
        <w:ind w:firstLine="240"/>
      </w:pPr>
      <w:bookmarkStart w:id="618" w:name="619"/>
      <w:bookmarkEnd w:id="6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14:paraId="52295C2A" w14:textId="77777777" w:rsidR="00FC15D8" w:rsidRDefault="000A2B8F">
      <w:pPr>
        <w:spacing w:after="0"/>
        <w:ind w:firstLine="240"/>
      </w:pPr>
      <w:bookmarkStart w:id="619" w:name="620"/>
      <w:bookmarkEnd w:id="6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14:paraId="17C1A75A" w14:textId="77777777" w:rsidR="00FC15D8" w:rsidRDefault="000A2B8F">
      <w:pPr>
        <w:pStyle w:val="3"/>
        <w:spacing w:after="0"/>
        <w:jc w:val="center"/>
      </w:pPr>
      <w:bookmarkStart w:id="620" w:name="621"/>
      <w:bookmarkEnd w:id="619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узагальнення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</w:p>
    <w:p w14:paraId="7B3DF757" w14:textId="77777777" w:rsidR="00FC15D8" w:rsidRDefault="000A2B8F">
      <w:pPr>
        <w:spacing w:after="0"/>
        <w:ind w:firstLine="240"/>
      </w:pPr>
      <w:bookmarkStart w:id="621" w:name="622"/>
      <w:bookmarkEnd w:id="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14:paraId="1346C808" w14:textId="77777777" w:rsidR="00FC15D8" w:rsidRDefault="000A2B8F">
      <w:pPr>
        <w:spacing w:after="0"/>
        <w:ind w:firstLine="240"/>
      </w:pPr>
      <w:bookmarkStart w:id="622" w:name="623"/>
      <w:bookmarkEnd w:id="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14:paraId="1D74A576" w14:textId="77777777" w:rsidR="00FC15D8" w:rsidRDefault="000A2B8F">
      <w:pPr>
        <w:spacing w:after="0"/>
        <w:ind w:firstLine="240"/>
      </w:pPr>
      <w:bookmarkStart w:id="623" w:name="624"/>
      <w:bookmarkEnd w:id="6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1EFC6F72" w14:textId="77777777" w:rsidR="00FC15D8" w:rsidRDefault="000A2B8F">
      <w:pPr>
        <w:spacing w:after="0"/>
        <w:ind w:firstLine="240"/>
      </w:pPr>
      <w:bookmarkStart w:id="624" w:name="625"/>
      <w:bookmarkEnd w:id="623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14:paraId="554C1824" w14:textId="77777777" w:rsidR="00FC15D8" w:rsidRDefault="000A2B8F">
      <w:pPr>
        <w:spacing w:after="0"/>
        <w:ind w:firstLine="240"/>
      </w:pPr>
      <w:bookmarkStart w:id="625" w:name="626"/>
      <w:bookmarkEnd w:id="624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стейкхолдери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34711F7" w14:textId="77777777" w:rsidR="00FC15D8" w:rsidRDefault="000A2B8F">
      <w:pPr>
        <w:spacing w:after="0"/>
        <w:ind w:firstLine="240"/>
      </w:pPr>
      <w:bookmarkStart w:id="626" w:name="627"/>
      <w:bookmarkEnd w:id="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3889185B" w14:textId="77777777" w:rsidR="00FC15D8" w:rsidRDefault="000A2B8F">
      <w:pPr>
        <w:spacing w:after="0"/>
        <w:ind w:firstLine="240"/>
      </w:pPr>
      <w:bookmarkStart w:id="627" w:name="628"/>
      <w:bookmarkEnd w:id="626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7E783CE9" w14:textId="77777777" w:rsidR="00FC15D8" w:rsidRDefault="000A2B8F">
      <w:pPr>
        <w:spacing w:after="0"/>
        <w:ind w:firstLine="240"/>
      </w:pPr>
      <w:bookmarkStart w:id="628" w:name="629"/>
      <w:bookmarkEnd w:id="627"/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14:paraId="65C5BF63" w14:textId="77777777" w:rsidR="00FC15D8" w:rsidRDefault="000A2B8F">
      <w:pPr>
        <w:spacing w:after="0"/>
        <w:ind w:firstLine="240"/>
      </w:pPr>
      <w:bookmarkStart w:id="629" w:name="630"/>
      <w:bookmarkEnd w:id="628"/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14:paraId="6E4C25D5" w14:textId="77777777" w:rsidR="00FC15D8" w:rsidRDefault="000A2B8F">
      <w:pPr>
        <w:spacing w:after="0"/>
        <w:ind w:firstLine="240"/>
      </w:pPr>
      <w:bookmarkStart w:id="630" w:name="631"/>
      <w:bookmarkEnd w:id="629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);</w:t>
      </w:r>
    </w:p>
    <w:p w14:paraId="7A5459A8" w14:textId="77777777" w:rsidR="00FC15D8" w:rsidRDefault="000A2B8F">
      <w:pPr>
        <w:spacing w:after="0"/>
        <w:ind w:firstLine="240"/>
      </w:pPr>
      <w:bookmarkStart w:id="631" w:name="632"/>
      <w:bookmarkEnd w:id="6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14:paraId="110076D9" w14:textId="77777777" w:rsidR="00FC15D8" w:rsidRDefault="000A2B8F">
      <w:pPr>
        <w:spacing w:after="0"/>
        <w:ind w:firstLine="240"/>
      </w:pPr>
      <w:bookmarkStart w:id="632" w:name="633"/>
      <w:bookmarkEnd w:id="631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14:paraId="59DC1D33" w14:textId="77777777" w:rsidR="00FC15D8" w:rsidRDefault="000A2B8F">
      <w:pPr>
        <w:spacing w:after="0"/>
        <w:ind w:firstLine="240"/>
      </w:pPr>
      <w:bookmarkStart w:id="633" w:name="634"/>
      <w:bookmarkEnd w:id="63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14:paraId="6C591A78" w14:textId="77777777" w:rsidR="00FC15D8" w:rsidRDefault="000A2B8F">
      <w:pPr>
        <w:spacing w:after="0"/>
        <w:ind w:firstLine="240"/>
      </w:pPr>
      <w:bookmarkStart w:id="634" w:name="635"/>
      <w:bookmarkEnd w:id="633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315971D8" w14:textId="77777777" w:rsidR="00FC15D8" w:rsidRDefault="000A2B8F">
      <w:pPr>
        <w:spacing w:after="0"/>
        <w:ind w:firstLine="240"/>
      </w:pPr>
      <w:bookmarkStart w:id="635" w:name="636"/>
      <w:bookmarkEnd w:id="634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14:paraId="4F7135DF" w14:textId="77777777" w:rsidR="00FC15D8" w:rsidRDefault="000A2B8F">
      <w:pPr>
        <w:spacing w:after="0"/>
        <w:ind w:firstLine="240"/>
      </w:pPr>
      <w:bookmarkStart w:id="636" w:name="637"/>
      <w:bookmarkEnd w:id="635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14:paraId="452C9403" w14:textId="77777777" w:rsidR="00FC15D8" w:rsidRDefault="000A2B8F">
      <w:pPr>
        <w:spacing w:after="0"/>
        <w:ind w:firstLine="240"/>
      </w:pPr>
      <w:bookmarkStart w:id="637" w:name="638"/>
      <w:bookmarkEnd w:id="636"/>
      <w:r>
        <w:rPr>
          <w:rFonts w:ascii="Arial"/>
          <w:color w:val="000000"/>
          <w:sz w:val="18"/>
        </w:rPr>
        <w:t>категоризація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14:paraId="5A37156C" w14:textId="77777777" w:rsidR="00FC15D8" w:rsidRDefault="000A2B8F">
      <w:pPr>
        <w:spacing w:after="0"/>
        <w:ind w:firstLine="240"/>
      </w:pPr>
      <w:bookmarkStart w:id="638" w:name="639"/>
      <w:bookmarkEnd w:id="637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>);</w:t>
      </w:r>
    </w:p>
    <w:p w14:paraId="0E3DC460" w14:textId="77777777" w:rsidR="00FC15D8" w:rsidRDefault="000A2B8F">
      <w:pPr>
        <w:spacing w:after="0"/>
        <w:ind w:firstLine="240"/>
      </w:pPr>
      <w:bookmarkStart w:id="639" w:name="640"/>
      <w:bookmarkEnd w:id="6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ad hoc)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);</w:t>
      </w:r>
    </w:p>
    <w:p w14:paraId="72A35F2E" w14:textId="77777777" w:rsidR="00FC15D8" w:rsidRDefault="000A2B8F">
      <w:pPr>
        <w:spacing w:after="0"/>
        <w:ind w:firstLine="240"/>
      </w:pPr>
      <w:bookmarkStart w:id="640" w:name="641"/>
      <w:bookmarkEnd w:id="6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);</w:t>
      </w:r>
    </w:p>
    <w:p w14:paraId="00874C6B" w14:textId="77777777" w:rsidR="00FC15D8" w:rsidRDefault="000A2B8F">
      <w:pPr>
        <w:spacing w:after="0"/>
        <w:ind w:firstLine="240"/>
      </w:pPr>
      <w:bookmarkStart w:id="641" w:name="642"/>
      <w:bookmarkEnd w:id="6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14:paraId="618B5D24" w14:textId="77777777" w:rsidR="00FC15D8" w:rsidRDefault="000A2B8F">
      <w:pPr>
        <w:spacing w:after="0"/>
        <w:ind w:firstLine="240"/>
      </w:pPr>
      <w:bookmarkStart w:id="642" w:name="643"/>
      <w:bookmarkEnd w:id="6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>);</w:t>
      </w:r>
    </w:p>
    <w:p w14:paraId="3A8117BB" w14:textId="77777777" w:rsidR="00FC15D8" w:rsidRDefault="000A2B8F">
      <w:pPr>
        <w:spacing w:after="0"/>
        <w:ind w:firstLine="240"/>
      </w:pPr>
      <w:bookmarkStart w:id="643" w:name="644"/>
      <w:bookmarkEnd w:id="6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14:paraId="05782439" w14:textId="77777777" w:rsidR="00FC15D8" w:rsidRDefault="000A2B8F">
      <w:pPr>
        <w:spacing w:after="0"/>
        <w:ind w:firstLine="240"/>
      </w:pPr>
      <w:bookmarkStart w:id="644" w:name="645"/>
      <w:bookmarkEnd w:id="643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</w:t>
      </w:r>
      <w:r>
        <w:rPr>
          <w:rFonts w:ascii="Arial"/>
          <w:color w:val="000000"/>
          <w:sz w:val="18"/>
        </w:rPr>
        <w:t>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>;</w:t>
      </w:r>
    </w:p>
    <w:p w14:paraId="6D125687" w14:textId="77777777" w:rsidR="00FC15D8" w:rsidRDefault="000A2B8F">
      <w:pPr>
        <w:spacing w:after="0"/>
        <w:ind w:firstLine="240"/>
      </w:pPr>
      <w:bookmarkStart w:id="645" w:name="646"/>
      <w:bookmarkEnd w:id="644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);</w:t>
      </w:r>
    </w:p>
    <w:p w14:paraId="738E5F3E" w14:textId="77777777" w:rsidR="00FC15D8" w:rsidRDefault="000A2B8F">
      <w:pPr>
        <w:spacing w:after="0"/>
        <w:ind w:firstLine="240"/>
      </w:pPr>
      <w:bookmarkStart w:id="646" w:name="647"/>
      <w:bookmarkEnd w:id="645"/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>;</w:t>
      </w:r>
    </w:p>
    <w:p w14:paraId="37E8C46F" w14:textId="77777777" w:rsidR="00FC15D8" w:rsidRDefault="000A2B8F">
      <w:pPr>
        <w:spacing w:after="0"/>
        <w:ind w:firstLine="240"/>
      </w:pPr>
      <w:bookmarkStart w:id="647" w:name="648"/>
      <w:bookmarkEnd w:id="646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апостеріорних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);</w:t>
      </w:r>
    </w:p>
    <w:p w14:paraId="77C4BA5A" w14:textId="77777777" w:rsidR="00FC15D8" w:rsidRDefault="000A2B8F">
      <w:pPr>
        <w:spacing w:after="0"/>
        <w:ind w:firstLine="240"/>
      </w:pPr>
      <w:bookmarkStart w:id="648" w:name="649"/>
      <w:bookmarkEnd w:id="647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14:paraId="512DFB57" w14:textId="77777777" w:rsidR="00FC15D8" w:rsidRDefault="000A2B8F">
      <w:pPr>
        <w:spacing w:after="0"/>
        <w:ind w:firstLine="240"/>
      </w:pPr>
      <w:bookmarkStart w:id="649" w:name="650"/>
      <w:bookmarkEnd w:id="648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14:paraId="6C102121" w14:textId="77777777" w:rsidR="00FC15D8" w:rsidRDefault="000A2B8F">
      <w:pPr>
        <w:spacing w:after="0"/>
        <w:ind w:firstLine="240"/>
      </w:pPr>
      <w:bookmarkStart w:id="650" w:name="651"/>
      <w:bookmarkEnd w:id="6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500000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5000000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1000000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);</w:t>
      </w:r>
    </w:p>
    <w:p w14:paraId="41D3D7BD" w14:textId="77777777" w:rsidR="00FC15D8" w:rsidRDefault="000A2B8F">
      <w:pPr>
        <w:spacing w:after="0"/>
        <w:ind w:firstLine="240"/>
      </w:pPr>
      <w:bookmarkStart w:id="651" w:name="652"/>
      <w:bookmarkEnd w:id="650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14:paraId="77084519" w14:textId="77777777" w:rsidR="00FC15D8" w:rsidRDefault="000A2B8F">
      <w:pPr>
        <w:spacing w:after="0"/>
        <w:ind w:firstLine="240"/>
      </w:pPr>
      <w:bookmarkStart w:id="652" w:name="653"/>
      <w:bookmarkEnd w:id="651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14:paraId="134FCF50" w14:textId="77777777" w:rsidR="00FC15D8" w:rsidRDefault="000A2B8F">
      <w:pPr>
        <w:spacing w:after="0"/>
        <w:ind w:firstLine="240"/>
      </w:pPr>
      <w:bookmarkStart w:id="653" w:name="654"/>
      <w:bookmarkEnd w:id="65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14:paraId="77D0F405" w14:textId="77777777" w:rsidR="00FC15D8" w:rsidRDefault="000A2B8F">
      <w:pPr>
        <w:spacing w:after="0"/>
        <w:ind w:firstLine="240"/>
      </w:pPr>
      <w:bookmarkStart w:id="654" w:name="655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.</w:t>
      </w:r>
    </w:p>
    <w:p w14:paraId="262E5A5B" w14:textId="77777777" w:rsidR="00FC15D8" w:rsidRDefault="000A2B8F">
      <w:pPr>
        <w:spacing w:after="0"/>
        <w:ind w:firstLine="240"/>
      </w:pPr>
      <w:bookmarkStart w:id="655" w:name="656"/>
      <w:bookmarkEnd w:id="654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5B4D1652" w14:textId="77777777" w:rsidR="00FC15D8" w:rsidRDefault="000A2B8F">
      <w:pPr>
        <w:spacing w:after="0"/>
        <w:ind w:firstLine="240"/>
      </w:pPr>
      <w:bookmarkStart w:id="656" w:name="657"/>
      <w:bookmarkEnd w:id="6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14:paraId="375E29A5" w14:textId="77777777" w:rsidR="00FC15D8" w:rsidRDefault="000A2B8F">
      <w:pPr>
        <w:pStyle w:val="3"/>
        <w:spacing w:after="0"/>
        <w:jc w:val="center"/>
      </w:pPr>
      <w:bookmarkStart w:id="657" w:name="658"/>
      <w:bookmarkEnd w:id="656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32708153" w14:textId="77777777" w:rsidR="00FC15D8" w:rsidRDefault="000A2B8F">
      <w:pPr>
        <w:spacing w:after="0"/>
        <w:ind w:firstLine="240"/>
      </w:pPr>
      <w:bookmarkStart w:id="658" w:name="659"/>
      <w:bookmarkEnd w:id="6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тандартом</w:t>
      </w:r>
      <w:r>
        <w:rPr>
          <w:rFonts w:ascii="Arial"/>
          <w:color w:val="000000"/>
          <w:sz w:val="18"/>
        </w:rPr>
        <w:t>.</w:t>
      </w:r>
    </w:p>
    <w:p w14:paraId="211E1396" w14:textId="77777777" w:rsidR="00FC15D8" w:rsidRDefault="000A2B8F">
      <w:pPr>
        <w:spacing w:after="0"/>
        <w:ind w:firstLine="240"/>
      </w:pPr>
      <w:bookmarkStart w:id="659" w:name="660"/>
      <w:bookmarkEnd w:id="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14:paraId="19E23171" w14:textId="77777777" w:rsidR="00FC15D8" w:rsidRDefault="000A2B8F">
      <w:pPr>
        <w:spacing w:after="0"/>
        <w:ind w:firstLine="240"/>
      </w:pPr>
      <w:bookmarkStart w:id="660" w:name="661"/>
      <w:bookmarkEnd w:id="6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14:paraId="158F8EA0" w14:textId="77777777" w:rsidR="00FC15D8" w:rsidRDefault="000A2B8F">
      <w:pPr>
        <w:spacing w:after="0"/>
        <w:ind w:firstLine="240"/>
      </w:pPr>
      <w:bookmarkStart w:id="661" w:name="662"/>
      <w:bookmarkEnd w:id="66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FC15D8" w14:paraId="6A16E562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3F5F4A0C" w14:textId="77777777" w:rsidR="00FC15D8" w:rsidRDefault="000A2B8F">
            <w:pPr>
              <w:spacing w:after="0"/>
              <w:jc w:val="center"/>
            </w:pPr>
            <w:bookmarkStart w:id="662" w:name="663"/>
            <w:bookmarkEnd w:id="661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корпоративного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корпоративних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фінансових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інструментів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ринках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капіталу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ринків</w:t>
            </w:r>
          </w:p>
        </w:tc>
        <w:tc>
          <w:tcPr>
            <w:tcW w:w="4845" w:type="dxa"/>
            <w:vAlign w:val="center"/>
          </w:tcPr>
          <w:p w14:paraId="45A8717F" w14:textId="77777777" w:rsidR="00FC15D8" w:rsidRDefault="000A2B8F">
            <w:pPr>
              <w:spacing w:after="0"/>
              <w:jc w:val="center"/>
            </w:pPr>
            <w:bookmarkStart w:id="663" w:name="664"/>
            <w:bookmarkEnd w:id="662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ПЕРЕСУНЬКО</w:t>
            </w:r>
          </w:p>
        </w:tc>
        <w:bookmarkEnd w:id="663"/>
      </w:tr>
    </w:tbl>
    <w:p w14:paraId="0B6ACF0D" w14:textId="77777777" w:rsidR="00FC15D8" w:rsidRDefault="000A2B8F">
      <w:r>
        <w:br/>
      </w:r>
    </w:p>
    <w:p w14:paraId="1B95CF29" w14:textId="77777777" w:rsidR="00FC15D8" w:rsidRDefault="000A2B8F">
      <w:pPr>
        <w:spacing w:after="0"/>
        <w:ind w:firstLine="240"/>
      </w:pPr>
      <w:bookmarkStart w:id="664" w:name="665"/>
      <w:r>
        <w:rPr>
          <w:rFonts w:ascii="Arial"/>
          <w:color w:val="000000"/>
          <w:sz w:val="18"/>
        </w:rPr>
        <w:t xml:space="preserve"> </w:t>
      </w:r>
    </w:p>
    <w:p w14:paraId="5D391C87" w14:textId="77777777" w:rsidR="00FC15D8" w:rsidRDefault="000A2B8F">
      <w:pPr>
        <w:spacing w:after="0"/>
        <w:ind w:firstLine="240"/>
        <w:jc w:val="right"/>
      </w:pPr>
      <w:bookmarkStart w:id="665" w:name="666"/>
      <w:bookmarkEnd w:id="6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3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14:paraId="73084F91" w14:textId="77777777" w:rsidR="00FC15D8" w:rsidRDefault="000A2B8F">
      <w:pPr>
        <w:pStyle w:val="3"/>
        <w:spacing w:after="0"/>
        <w:jc w:val="center"/>
      </w:pPr>
      <w:bookmarkStart w:id="666" w:name="667"/>
      <w:bookmarkEnd w:id="665"/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комітетів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відповідальних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39"/>
        <w:gridCol w:w="1274"/>
        <w:gridCol w:w="1903"/>
        <w:gridCol w:w="1119"/>
        <w:gridCol w:w="716"/>
        <w:gridCol w:w="1233"/>
        <w:gridCol w:w="1308"/>
      </w:tblGrid>
      <w:tr w:rsidR="00FC15D8" w14:paraId="091DED77" w14:textId="77777777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1566E" w14:textId="77777777" w:rsidR="00FC15D8" w:rsidRDefault="000A2B8F">
            <w:pPr>
              <w:spacing w:after="0"/>
            </w:pPr>
            <w:bookmarkStart w:id="667" w:name="668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BD6B09" w14:textId="77777777" w:rsidR="00FC15D8" w:rsidRDefault="000A2B8F">
            <w:pPr>
              <w:spacing w:after="0"/>
              <w:jc w:val="center"/>
            </w:pPr>
            <w:bookmarkStart w:id="668" w:name="669"/>
            <w:bookmarkEnd w:id="667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3780" w14:textId="77777777" w:rsidR="00FC15D8" w:rsidRDefault="000A2B8F">
            <w:pPr>
              <w:spacing w:after="0"/>
              <w:jc w:val="center"/>
            </w:pPr>
            <w:bookmarkStart w:id="669" w:name="670"/>
            <w:bookmarkEnd w:id="668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СВК</w:t>
            </w:r>
          </w:p>
        </w:tc>
        <w:bookmarkEnd w:id="669"/>
      </w:tr>
      <w:tr w:rsidR="00FC15D8" w14:paraId="1EFFDEA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C2B980A" w14:textId="77777777" w:rsidR="00FC15D8" w:rsidRDefault="00FC15D8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749F1D" w14:textId="77777777" w:rsidR="00FC15D8" w:rsidRDefault="00FC15D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8C918" w14:textId="77777777" w:rsidR="00FC15D8" w:rsidRDefault="000A2B8F">
            <w:pPr>
              <w:spacing w:after="0"/>
              <w:jc w:val="center"/>
            </w:pPr>
            <w:bookmarkStart w:id="670" w:name="671"/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1761FA" w14:textId="77777777" w:rsidR="00FC15D8" w:rsidRDefault="000A2B8F">
            <w:pPr>
              <w:spacing w:after="0"/>
              <w:jc w:val="center"/>
            </w:pPr>
            <w:bookmarkStart w:id="671" w:name="672"/>
            <w:bookmarkEnd w:id="670"/>
            <w:r>
              <w:rPr>
                <w:rFonts w:ascii="Arial"/>
                <w:color w:val="000000"/>
                <w:sz w:val="15"/>
              </w:rPr>
              <w:t>Менеджер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69FDF" w14:textId="77777777" w:rsidR="00FC15D8" w:rsidRDefault="000A2B8F">
            <w:pPr>
              <w:spacing w:after="0"/>
              <w:jc w:val="center"/>
            </w:pPr>
            <w:bookmarkStart w:id="672" w:name="673"/>
            <w:bookmarkEnd w:id="671"/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672"/>
      </w:tr>
      <w:tr w:rsidR="00FC15D8" w14:paraId="3CE3EFB8" w14:textId="7777777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0D0EFF" w14:textId="77777777" w:rsidR="00FC15D8" w:rsidRDefault="000A2B8F">
            <w:pPr>
              <w:spacing w:after="0"/>
            </w:pPr>
            <w:bookmarkStart w:id="673" w:name="674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5292C" w14:textId="77777777" w:rsidR="00FC15D8" w:rsidRDefault="000A2B8F">
            <w:pPr>
              <w:spacing w:after="0"/>
              <w:jc w:val="center"/>
            </w:pPr>
            <w:bookmarkStart w:id="674" w:name="675"/>
            <w:bookmarkEnd w:id="673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96357" w14:textId="77777777" w:rsidR="00FC15D8" w:rsidRDefault="000A2B8F">
            <w:pPr>
              <w:spacing w:after="0"/>
            </w:pPr>
            <w:bookmarkStart w:id="675" w:name="676"/>
            <w:bookmarkEnd w:id="674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4B8BB" w14:textId="77777777" w:rsidR="00FC15D8" w:rsidRDefault="000A2B8F">
            <w:pPr>
              <w:spacing w:after="0"/>
              <w:jc w:val="center"/>
            </w:pPr>
            <w:bookmarkStart w:id="676" w:name="677"/>
            <w:bookmarkEnd w:id="67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F9348" w14:textId="77777777" w:rsidR="00FC15D8" w:rsidRDefault="000A2B8F">
            <w:pPr>
              <w:spacing w:after="0"/>
              <w:jc w:val="center"/>
            </w:pPr>
            <w:bookmarkStart w:id="677" w:name="678"/>
            <w:bookmarkEnd w:id="67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21796" w14:textId="77777777" w:rsidR="00FC15D8" w:rsidRDefault="000A2B8F">
            <w:pPr>
              <w:spacing w:after="0"/>
              <w:jc w:val="center"/>
            </w:pPr>
            <w:bookmarkStart w:id="678" w:name="679"/>
            <w:bookmarkEnd w:id="67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AF9494" w14:textId="77777777" w:rsidR="00FC15D8" w:rsidRDefault="000A2B8F">
            <w:pPr>
              <w:spacing w:after="0"/>
              <w:jc w:val="center"/>
            </w:pPr>
            <w:bookmarkStart w:id="679" w:name="680"/>
            <w:bookmarkEnd w:id="67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79"/>
      </w:tr>
      <w:tr w:rsidR="00FC15D8" w14:paraId="24F3F062" w14:textId="7777777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704CB9" w14:textId="77777777" w:rsidR="00FC15D8" w:rsidRDefault="000A2B8F">
            <w:pPr>
              <w:spacing w:after="0"/>
            </w:pPr>
            <w:bookmarkStart w:id="680" w:name="681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</w:p>
        </w:tc>
        <w:bookmarkEnd w:id="6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3C17BE" w14:textId="77777777" w:rsidR="00FC15D8" w:rsidRDefault="00FC15D8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7B941" w14:textId="77777777" w:rsidR="00FC15D8" w:rsidRDefault="000A2B8F">
            <w:pPr>
              <w:spacing w:after="0"/>
            </w:pPr>
            <w:bookmarkStart w:id="681" w:name="682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3AB54D" w14:textId="77777777" w:rsidR="00FC15D8" w:rsidRDefault="00FC15D8"/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4A17C7" w14:textId="77777777" w:rsidR="00FC15D8" w:rsidRDefault="000A2B8F">
            <w:pPr>
              <w:spacing w:after="0"/>
              <w:jc w:val="center"/>
            </w:pPr>
            <w:bookmarkStart w:id="682" w:name="68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EE7BE" w14:textId="77777777" w:rsidR="00FC15D8" w:rsidRDefault="000A2B8F">
            <w:pPr>
              <w:spacing w:after="0"/>
              <w:jc w:val="center"/>
            </w:pPr>
            <w:bookmarkStart w:id="683" w:name="684"/>
            <w:bookmarkEnd w:id="68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D0B37" w14:textId="77777777" w:rsidR="00FC15D8" w:rsidRDefault="000A2B8F">
            <w:pPr>
              <w:spacing w:after="0"/>
              <w:jc w:val="center"/>
            </w:pPr>
            <w:bookmarkStart w:id="684" w:name="685"/>
            <w:bookmarkEnd w:id="683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84"/>
      </w:tr>
      <w:tr w:rsidR="00FC15D8" w14:paraId="29A7D036" w14:textId="7777777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9AA4E" w14:textId="77777777" w:rsidR="00FC15D8" w:rsidRDefault="000A2B8F">
            <w:pPr>
              <w:spacing w:after="0"/>
            </w:pPr>
            <w:bookmarkStart w:id="685" w:name="686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комплаєнсу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74FD9" w14:textId="77777777" w:rsidR="00FC15D8" w:rsidRDefault="000A2B8F">
            <w:pPr>
              <w:spacing w:after="0"/>
              <w:jc w:val="center"/>
            </w:pPr>
            <w:bookmarkStart w:id="686" w:name="687"/>
            <w:bookmarkEnd w:id="6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F05AF" w14:textId="77777777" w:rsidR="00FC15D8" w:rsidRDefault="000A2B8F">
            <w:pPr>
              <w:spacing w:after="0"/>
            </w:pPr>
            <w:bookmarkStart w:id="687" w:name="688"/>
            <w:bookmarkEnd w:id="686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68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B9D9DA" w14:textId="77777777" w:rsidR="00FC15D8" w:rsidRDefault="00FC15D8"/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73A6B" w14:textId="77777777" w:rsidR="00FC15D8" w:rsidRDefault="000A2B8F">
            <w:pPr>
              <w:spacing w:after="0"/>
              <w:jc w:val="center"/>
            </w:pPr>
            <w:bookmarkStart w:id="688" w:name="68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8D385" w14:textId="77777777" w:rsidR="00FC15D8" w:rsidRDefault="000A2B8F">
            <w:pPr>
              <w:spacing w:after="0"/>
              <w:jc w:val="center"/>
            </w:pPr>
            <w:bookmarkStart w:id="689" w:name="690"/>
            <w:bookmarkEnd w:id="68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75514" w14:textId="77777777" w:rsidR="00FC15D8" w:rsidRDefault="000A2B8F">
            <w:pPr>
              <w:spacing w:after="0"/>
              <w:jc w:val="center"/>
            </w:pPr>
            <w:bookmarkStart w:id="690" w:name="691"/>
            <w:bookmarkEnd w:id="6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90"/>
      </w:tr>
      <w:tr w:rsidR="00FC15D8" w14:paraId="66B10AEF" w14:textId="7777777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EB6955" w14:textId="77777777" w:rsidR="00FC15D8" w:rsidRDefault="000A2B8F">
            <w:pPr>
              <w:spacing w:after="0"/>
            </w:pPr>
            <w:bookmarkStart w:id="691" w:name="692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призначень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4A0D1" w14:textId="77777777" w:rsidR="00FC15D8" w:rsidRDefault="000A2B8F">
            <w:pPr>
              <w:spacing w:after="0"/>
              <w:jc w:val="center"/>
            </w:pPr>
            <w:bookmarkStart w:id="692" w:name="693"/>
            <w:bookmarkEnd w:id="691"/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єднуватись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A61F2" w14:textId="77777777" w:rsidR="00FC15D8" w:rsidRDefault="000A2B8F">
            <w:pPr>
              <w:spacing w:after="0"/>
            </w:pPr>
            <w:bookmarkStart w:id="693" w:name="694"/>
            <w:bookmarkEnd w:id="692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5C4999" w14:textId="77777777" w:rsidR="00FC15D8" w:rsidRDefault="000A2B8F">
            <w:pPr>
              <w:spacing w:after="0"/>
              <w:jc w:val="center"/>
            </w:pPr>
            <w:bookmarkStart w:id="694" w:name="695"/>
            <w:bookmarkEnd w:id="69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802D66" w14:textId="77777777" w:rsidR="00FC15D8" w:rsidRDefault="000A2B8F">
            <w:pPr>
              <w:spacing w:after="0"/>
              <w:jc w:val="center"/>
            </w:pPr>
            <w:bookmarkStart w:id="695" w:name="696"/>
            <w:bookmarkEnd w:id="69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5A9273" w14:textId="77777777" w:rsidR="00FC15D8" w:rsidRDefault="000A2B8F">
            <w:pPr>
              <w:spacing w:after="0"/>
              <w:jc w:val="center"/>
            </w:pPr>
            <w:bookmarkStart w:id="696" w:name="697"/>
            <w:bookmarkEnd w:id="69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96"/>
      </w:tr>
      <w:tr w:rsidR="00FC15D8" w14:paraId="1F531898" w14:textId="7777777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FD65C4" w14:textId="77777777" w:rsidR="00FC15D8" w:rsidRDefault="000A2B8F">
            <w:pPr>
              <w:spacing w:after="0"/>
            </w:pPr>
            <w:bookmarkStart w:id="697" w:name="698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</w:p>
        </w:tc>
        <w:bookmarkEnd w:id="69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35DC1C" w14:textId="77777777" w:rsidR="00FC15D8" w:rsidRDefault="00FC15D8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49D1BA" w14:textId="77777777" w:rsidR="00FC15D8" w:rsidRDefault="000A2B8F">
            <w:pPr>
              <w:spacing w:after="0"/>
            </w:pPr>
            <w:bookmarkStart w:id="698" w:name="699"/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 xml:space="preserve">. 3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F7ED9" w14:textId="77777777" w:rsidR="00FC15D8" w:rsidRDefault="000A2B8F">
            <w:pPr>
              <w:spacing w:after="0"/>
              <w:jc w:val="center"/>
            </w:pPr>
            <w:bookmarkStart w:id="699" w:name="700"/>
            <w:bookmarkEnd w:id="69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2201B" w14:textId="77777777" w:rsidR="00FC15D8" w:rsidRDefault="000A2B8F">
            <w:pPr>
              <w:spacing w:after="0"/>
              <w:jc w:val="center"/>
            </w:pPr>
            <w:bookmarkStart w:id="700" w:name="701"/>
            <w:bookmarkEnd w:id="69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86540C" w14:textId="77777777" w:rsidR="00FC15D8" w:rsidRDefault="000A2B8F">
            <w:pPr>
              <w:spacing w:after="0"/>
              <w:jc w:val="center"/>
            </w:pPr>
            <w:bookmarkStart w:id="701" w:name="702"/>
            <w:bookmarkEnd w:id="70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01"/>
      </w:tr>
    </w:tbl>
    <w:p w14:paraId="51E33697" w14:textId="77777777" w:rsidR="00FC15D8" w:rsidRDefault="000A2B8F">
      <w:r>
        <w:br/>
      </w:r>
    </w:p>
    <w:p w14:paraId="14B2219D" w14:textId="77777777" w:rsidR="00FC15D8" w:rsidRDefault="000A2B8F">
      <w:pPr>
        <w:spacing w:after="0"/>
        <w:ind w:firstLine="240"/>
      </w:pPr>
      <w:bookmarkStart w:id="702" w:name="703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14:paraId="10C046F3" w14:textId="77777777" w:rsidR="00FC15D8" w:rsidRDefault="000A2B8F">
      <w:pPr>
        <w:spacing w:after="0"/>
        <w:ind w:firstLine="240"/>
      </w:pPr>
      <w:bookmarkStart w:id="703" w:name="704"/>
      <w:bookmarkEnd w:id="70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система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>;</w:t>
      </w:r>
    </w:p>
    <w:p w14:paraId="3B6E939F" w14:textId="77777777" w:rsidR="00FC15D8" w:rsidRDefault="000A2B8F">
      <w:pPr>
        <w:spacing w:after="0"/>
        <w:ind w:firstLine="240"/>
      </w:pPr>
      <w:bookmarkStart w:id="704" w:name="705"/>
      <w:bookmarkEnd w:id="703"/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підрозділ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аудиту</w:t>
      </w:r>
      <w:r>
        <w:rPr>
          <w:rFonts w:ascii="Arial"/>
          <w:color w:val="000000"/>
          <w:sz w:val="15"/>
        </w:rPr>
        <w:t>;</w:t>
      </w:r>
    </w:p>
    <w:p w14:paraId="1C220F35" w14:textId="77777777" w:rsidR="00FC15D8" w:rsidRDefault="000A2B8F">
      <w:pPr>
        <w:spacing w:after="0"/>
        <w:ind w:firstLine="240"/>
      </w:pPr>
      <w:bookmarkStart w:id="705" w:name="706"/>
      <w:bookmarkEnd w:id="704"/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одноосібний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компалаєнс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</w:t>
      </w:r>
      <w:r>
        <w:rPr>
          <w:rFonts w:ascii="Arial"/>
          <w:color w:val="000000"/>
          <w:sz w:val="15"/>
        </w:rPr>
        <w:t>;</w:t>
      </w:r>
    </w:p>
    <w:p w14:paraId="61AE32ED" w14:textId="77777777" w:rsidR="00FC15D8" w:rsidRDefault="000A2B8F">
      <w:pPr>
        <w:spacing w:after="0"/>
        <w:ind w:firstLine="240"/>
      </w:pPr>
      <w:bookmarkStart w:id="706" w:name="707"/>
      <w:bookmarkEnd w:id="705"/>
      <w:r>
        <w:rPr>
          <w:rFonts w:ascii="Arial"/>
          <w:color w:val="000000"/>
          <w:sz w:val="15"/>
        </w:rPr>
        <w:t>Виконав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учаснику</w:t>
      </w:r>
      <w:r>
        <w:rPr>
          <w:rFonts w:ascii="Arial"/>
          <w:color w:val="000000"/>
          <w:sz w:val="15"/>
        </w:rPr>
        <w:t>;</w:t>
      </w:r>
    </w:p>
    <w:p w14:paraId="72E4A3A8" w14:textId="77777777" w:rsidR="00FC15D8" w:rsidRDefault="000A2B8F">
      <w:pPr>
        <w:spacing w:after="0"/>
        <w:ind w:firstLine="240"/>
      </w:pPr>
      <w:bookmarkStart w:id="707" w:name="708"/>
      <w:bookmarkEnd w:id="706"/>
      <w:r>
        <w:rPr>
          <w:rFonts w:ascii="Arial"/>
          <w:color w:val="000000"/>
          <w:sz w:val="15"/>
        </w:rPr>
        <w:t xml:space="preserve">"+" -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призначити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комплаєнс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ризик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менеджера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внутрішнього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аудитора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замість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покладання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особу</w:t>
      </w:r>
      <w:r>
        <w:rPr>
          <w:rFonts w:ascii="Arial"/>
          <w:color w:val="000000"/>
          <w:sz w:val="15"/>
        </w:rPr>
        <w:t>;</w:t>
      </w:r>
    </w:p>
    <w:p w14:paraId="48676402" w14:textId="77777777" w:rsidR="00FC15D8" w:rsidRDefault="000A2B8F">
      <w:pPr>
        <w:spacing w:after="0"/>
        <w:ind w:firstLine="240"/>
      </w:pPr>
      <w:bookmarkStart w:id="708" w:name="709"/>
      <w:bookmarkEnd w:id="707"/>
      <w:r>
        <w:rPr>
          <w:rFonts w:ascii="Arial"/>
          <w:color w:val="000000"/>
          <w:sz w:val="15"/>
        </w:rPr>
        <w:t xml:space="preserve">"-" - </w:t>
      </w:r>
      <w:r>
        <w:rPr>
          <w:rFonts w:ascii="Arial"/>
          <w:color w:val="000000"/>
          <w:sz w:val="15"/>
        </w:rPr>
        <w:t>відсутність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вищезазначених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можливості</w:t>
      </w:r>
      <w:r>
        <w:rPr>
          <w:rFonts w:ascii="Arial"/>
          <w:color w:val="000000"/>
          <w:sz w:val="15"/>
        </w:rPr>
        <w:t>;</w:t>
      </w:r>
    </w:p>
    <w:p w14:paraId="417483DB" w14:textId="77777777" w:rsidR="00FC15D8" w:rsidRDefault="000A2B8F">
      <w:pPr>
        <w:spacing w:after="0"/>
        <w:ind w:firstLine="240"/>
      </w:pPr>
      <w:bookmarkStart w:id="709" w:name="710"/>
      <w:bookmarkEnd w:id="708"/>
      <w:r>
        <w:rPr>
          <w:rFonts w:ascii="Arial"/>
          <w:color w:val="000000"/>
          <w:sz w:val="15"/>
        </w:rPr>
        <w:t>"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" - </w:t>
      </w:r>
      <w:r>
        <w:rPr>
          <w:rFonts w:ascii="Arial"/>
          <w:color w:val="000000"/>
          <w:sz w:val="15"/>
        </w:rPr>
        <w:t>позначка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вказує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комітетів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відповідних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менеджерів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поєднуватися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>.</w:t>
      </w:r>
    </w:p>
    <w:p w14:paraId="2DF34E50" w14:textId="77777777" w:rsidR="00FC15D8" w:rsidRDefault="000A2B8F">
      <w:pPr>
        <w:spacing w:after="0"/>
        <w:ind w:firstLine="240"/>
      </w:pPr>
      <w:bookmarkStart w:id="710" w:name="711"/>
      <w:bookmarkEnd w:id="709"/>
      <w:r>
        <w:rPr>
          <w:rFonts w:ascii="Arial"/>
          <w:color w:val="000000"/>
          <w:sz w:val="18"/>
        </w:rPr>
        <w:t xml:space="preserve"> </w:t>
      </w:r>
    </w:p>
    <w:p w14:paraId="6A102029" w14:textId="77777777" w:rsidR="00FC15D8" w:rsidRDefault="000A2B8F">
      <w:pPr>
        <w:spacing w:after="0"/>
        <w:ind w:firstLine="240"/>
        <w:jc w:val="right"/>
      </w:pPr>
      <w:bookmarkStart w:id="711" w:name="712"/>
      <w:bookmarkEnd w:id="71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14:paraId="07AEC194" w14:textId="77777777" w:rsidR="00FC15D8" w:rsidRDefault="000A2B8F">
      <w:pPr>
        <w:pStyle w:val="3"/>
        <w:spacing w:after="0"/>
        <w:jc w:val="center"/>
      </w:pPr>
      <w:bookmarkStart w:id="712" w:name="713"/>
      <w:bookmarkEnd w:id="711"/>
      <w:r>
        <w:rPr>
          <w:rFonts w:ascii="Arial"/>
          <w:color w:val="000000"/>
          <w:sz w:val="27"/>
        </w:rPr>
        <w:t>Коефіцієнти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Стандарту</w:t>
      </w:r>
    </w:p>
    <w:p w14:paraId="564507D5" w14:textId="77777777" w:rsidR="00FC15D8" w:rsidRDefault="000A2B8F">
      <w:pPr>
        <w:spacing w:after="0"/>
        <w:ind w:firstLine="240"/>
      </w:pPr>
      <w:bookmarkStart w:id="713" w:name="714"/>
      <w:bookmarkEnd w:id="712"/>
      <w:r>
        <w:rPr>
          <w:rFonts w:ascii="Arial"/>
          <w:color w:val="000000"/>
          <w:sz w:val="18"/>
        </w:rPr>
        <w:t>Вартісні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14:paraId="314A51A5" w14:textId="77777777" w:rsidR="00FC15D8" w:rsidRDefault="000A2B8F">
      <w:pPr>
        <w:spacing w:after="0"/>
        <w:ind w:firstLine="240"/>
      </w:pPr>
      <w:bookmarkStart w:id="714" w:name="715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1;</w:t>
      </w:r>
    </w:p>
    <w:p w14:paraId="0B2AE390" w14:textId="77777777" w:rsidR="00FC15D8" w:rsidRDefault="000A2B8F">
      <w:pPr>
        <w:spacing w:after="0"/>
        <w:ind w:firstLine="240"/>
      </w:pPr>
      <w:bookmarkStart w:id="715" w:name="716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6;</w:t>
      </w:r>
    </w:p>
    <w:p w14:paraId="0768BCC5" w14:textId="77777777" w:rsidR="00FC15D8" w:rsidRDefault="000A2B8F">
      <w:pPr>
        <w:spacing w:after="0"/>
        <w:ind w:firstLine="240"/>
      </w:pPr>
      <w:bookmarkStart w:id="716" w:name="717"/>
      <w:bookmarkEnd w:id="7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9;</w:t>
      </w:r>
    </w:p>
    <w:p w14:paraId="581E808C" w14:textId="77777777" w:rsidR="00FC15D8" w:rsidRDefault="000A2B8F">
      <w:pPr>
        <w:spacing w:after="0"/>
        <w:ind w:firstLine="240"/>
      </w:pPr>
      <w:bookmarkStart w:id="717" w:name="718"/>
      <w:bookmarkEnd w:id="7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12;</w:t>
      </w:r>
    </w:p>
    <w:p w14:paraId="2536506E" w14:textId="77777777" w:rsidR="00FC15D8" w:rsidRDefault="000A2B8F">
      <w:pPr>
        <w:spacing w:after="0"/>
        <w:ind w:firstLine="240"/>
      </w:pPr>
      <w:bookmarkStart w:id="718" w:name="719"/>
      <w:bookmarkEnd w:id="7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15;</w:t>
      </w:r>
    </w:p>
    <w:p w14:paraId="2FB85012" w14:textId="77777777" w:rsidR="00FC15D8" w:rsidRDefault="000A2B8F">
      <w:pPr>
        <w:spacing w:after="0"/>
        <w:ind w:firstLine="240"/>
      </w:pPr>
      <w:bookmarkStart w:id="719" w:name="720"/>
      <w:bookmarkEnd w:id="7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;</w:t>
      </w:r>
    </w:p>
    <w:p w14:paraId="4CE4A0A6" w14:textId="77777777" w:rsidR="00FC15D8" w:rsidRDefault="000A2B8F">
      <w:pPr>
        <w:spacing w:after="0"/>
        <w:ind w:firstLine="240"/>
      </w:pPr>
      <w:bookmarkStart w:id="720" w:name="721"/>
      <w:bookmarkEnd w:id="7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21;</w:t>
      </w:r>
    </w:p>
    <w:p w14:paraId="79F3DF89" w14:textId="77777777" w:rsidR="00FC15D8" w:rsidRDefault="000A2B8F">
      <w:pPr>
        <w:spacing w:after="0"/>
        <w:ind w:firstLine="240"/>
      </w:pPr>
      <w:bookmarkStart w:id="721" w:name="722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24;</w:t>
      </w:r>
    </w:p>
    <w:p w14:paraId="1BD385CE" w14:textId="77777777" w:rsidR="00FC15D8" w:rsidRDefault="000A2B8F">
      <w:pPr>
        <w:spacing w:after="0"/>
        <w:ind w:firstLine="240"/>
      </w:pPr>
      <w:bookmarkStart w:id="722" w:name="723"/>
      <w:bookmarkEnd w:id="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27;</w:t>
      </w:r>
    </w:p>
    <w:p w14:paraId="1CC0ED34" w14:textId="77777777" w:rsidR="00FC15D8" w:rsidRDefault="000A2B8F">
      <w:pPr>
        <w:spacing w:after="0"/>
        <w:ind w:firstLine="240"/>
      </w:pPr>
      <w:bookmarkStart w:id="723" w:name="724"/>
      <w:bookmarkEnd w:id="72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30.</w:t>
      </w:r>
    </w:p>
    <w:p w14:paraId="3058B4AA" w14:textId="77777777" w:rsidR="00FC15D8" w:rsidRDefault="000A2B8F">
      <w:pPr>
        <w:spacing w:after="0"/>
        <w:ind w:firstLine="240"/>
      </w:pPr>
      <w:bookmarkStart w:id="724" w:name="725"/>
      <w:bookmarkEnd w:id="723"/>
      <w:r>
        <w:rPr>
          <w:rFonts w:ascii="Arial"/>
          <w:color w:val="000000"/>
          <w:sz w:val="18"/>
        </w:rPr>
        <w:t xml:space="preserve"> </w:t>
      </w:r>
    </w:p>
    <w:p w14:paraId="5617B041" w14:textId="77777777" w:rsidR="00FC15D8" w:rsidRDefault="000A2B8F">
      <w:pPr>
        <w:spacing w:after="0"/>
        <w:ind w:firstLine="240"/>
        <w:jc w:val="right"/>
      </w:pPr>
      <w:bookmarkStart w:id="725" w:name="726"/>
      <w:bookmarkEnd w:id="7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N 3 "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14:paraId="65D186ED" w14:textId="77777777" w:rsidR="00FC15D8" w:rsidRDefault="000A2B8F">
      <w:pPr>
        <w:pStyle w:val="3"/>
        <w:spacing w:after="0"/>
        <w:jc w:val="center"/>
      </w:pPr>
      <w:bookmarkStart w:id="726" w:name="727"/>
      <w:bookmarkEnd w:id="725"/>
      <w:r>
        <w:rPr>
          <w:rFonts w:ascii="Arial"/>
          <w:color w:val="000000"/>
          <w:sz w:val="27"/>
        </w:rPr>
        <w:t>АНКЕТА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8"/>
        <w:gridCol w:w="2529"/>
        <w:gridCol w:w="1485"/>
        <w:gridCol w:w="2195"/>
        <w:gridCol w:w="2195"/>
      </w:tblGrid>
      <w:tr w:rsidR="00FC15D8" w14:paraId="09DBB70E" w14:textId="77777777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21FB8" w14:textId="77777777" w:rsidR="00FC15D8" w:rsidRDefault="000A2B8F">
            <w:pPr>
              <w:spacing w:after="0"/>
              <w:jc w:val="center"/>
            </w:pPr>
            <w:bookmarkStart w:id="727" w:name="728"/>
            <w:bookmarkEnd w:id="72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9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A5B8" w14:textId="77777777" w:rsidR="00FC15D8" w:rsidRDefault="000A2B8F">
            <w:pPr>
              <w:spacing w:after="0"/>
              <w:jc w:val="center"/>
            </w:pPr>
            <w:bookmarkStart w:id="728" w:name="729"/>
            <w:bookmarkEnd w:id="727"/>
            <w:r>
              <w:rPr>
                <w:rFonts w:ascii="Arial"/>
                <w:color w:val="000000"/>
                <w:sz w:val="15"/>
              </w:rPr>
              <w:t>Напрями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</w:p>
        </w:tc>
        <w:tc>
          <w:tcPr>
            <w:tcW w:w="17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D4F73" w14:textId="77777777" w:rsidR="00FC15D8" w:rsidRDefault="000A2B8F">
            <w:pPr>
              <w:spacing w:after="0"/>
              <w:jc w:val="center"/>
            </w:pPr>
            <w:bookmarkStart w:id="729" w:name="730"/>
            <w:bookmarkEnd w:id="72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DACD1" w14:textId="77777777" w:rsidR="00FC15D8" w:rsidRDefault="000A2B8F">
            <w:pPr>
              <w:spacing w:after="0"/>
              <w:jc w:val="center"/>
            </w:pPr>
            <w:bookmarkStart w:id="730" w:name="731"/>
            <w:bookmarkEnd w:id="72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730"/>
      </w:tr>
      <w:tr w:rsidR="00FC15D8" w14:paraId="5A9AC5E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0A587F" w14:textId="77777777" w:rsidR="00FC15D8" w:rsidRDefault="00FC15D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F1D3C2" w14:textId="77777777" w:rsidR="00FC15D8" w:rsidRDefault="00FC15D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558839" w14:textId="77777777" w:rsidR="00FC15D8" w:rsidRDefault="00FC15D8"/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7EF3E" w14:textId="77777777" w:rsidR="00FC15D8" w:rsidRDefault="000A2B8F">
            <w:pPr>
              <w:spacing w:after="0"/>
              <w:jc w:val="center"/>
            </w:pPr>
            <w:bookmarkStart w:id="731" w:name="732"/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CCCE" w14:textId="77777777" w:rsidR="00FC15D8" w:rsidRDefault="000A2B8F">
            <w:pPr>
              <w:spacing w:after="0"/>
              <w:jc w:val="center"/>
            </w:pPr>
            <w:bookmarkStart w:id="732" w:name="733"/>
            <w:bookmarkEnd w:id="731"/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732"/>
      </w:tr>
      <w:tr w:rsidR="00FC15D8" w14:paraId="62F0C88C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77BFE" w14:textId="77777777" w:rsidR="00FC15D8" w:rsidRDefault="000A2B8F">
            <w:pPr>
              <w:spacing w:after="0"/>
              <w:jc w:val="center"/>
            </w:pPr>
            <w:bookmarkStart w:id="733" w:name="7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4CC53E" w14:textId="77777777" w:rsidR="00FC15D8" w:rsidRDefault="000A2B8F">
            <w:pPr>
              <w:spacing w:after="0"/>
              <w:jc w:val="center"/>
            </w:pPr>
            <w:bookmarkStart w:id="734" w:name="735"/>
            <w:bookmarkEnd w:id="73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7D308" w14:textId="77777777" w:rsidR="00FC15D8" w:rsidRDefault="000A2B8F">
            <w:pPr>
              <w:spacing w:after="0"/>
              <w:jc w:val="center"/>
            </w:pPr>
            <w:bookmarkStart w:id="735" w:name="736"/>
            <w:bookmarkEnd w:id="73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CF51" w14:textId="77777777" w:rsidR="00FC15D8" w:rsidRDefault="000A2B8F">
            <w:pPr>
              <w:spacing w:after="0"/>
              <w:jc w:val="center"/>
            </w:pPr>
            <w:bookmarkStart w:id="736" w:name="737"/>
            <w:bookmarkEnd w:id="73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C9488B" w14:textId="77777777" w:rsidR="00FC15D8" w:rsidRDefault="000A2B8F">
            <w:pPr>
              <w:spacing w:after="0"/>
              <w:jc w:val="center"/>
            </w:pPr>
            <w:bookmarkStart w:id="737" w:name="738"/>
            <w:bookmarkEnd w:id="73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37"/>
      </w:tr>
      <w:tr w:rsidR="00FC15D8" w14:paraId="6F41BA39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4A8AB6" w14:textId="77777777" w:rsidR="00FC15D8" w:rsidRDefault="000A2B8F">
            <w:pPr>
              <w:spacing w:after="0"/>
              <w:jc w:val="center"/>
            </w:pPr>
            <w:bookmarkStart w:id="738" w:name="7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83884" w14:textId="77777777" w:rsidR="00FC15D8" w:rsidRDefault="000A2B8F">
            <w:pPr>
              <w:spacing w:after="0"/>
            </w:pPr>
            <w:bookmarkStart w:id="739" w:name="740"/>
            <w:bookmarkEnd w:id="738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розпорядчих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CF5F9" w14:textId="77777777" w:rsidR="00FC15D8" w:rsidRDefault="000A2B8F">
            <w:pPr>
              <w:spacing w:after="0"/>
            </w:pPr>
            <w:bookmarkStart w:id="740" w:name="741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551904" w14:textId="77777777" w:rsidR="00FC15D8" w:rsidRDefault="000A2B8F">
            <w:pPr>
              <w:spacing w:after="0"/>
            </w:pPr>
            <w:bookmarkStart w:id="741" w:name="742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D73D6" w14:textId="77777777" w:rsidR="00FC15D8" w:rsidRDefault="000A2B8F">
            <w:pPr>
              <w:spacing w:after="0"/>
            </w:pPr>
            <w:bookmarkStart w:id="742" w:name="743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2"/>
      </w:tr>
      <w:tr w:rsidR="00FC15D8" w14:paraId="7804188C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92029C" w14:textId="77777777" w:rsidR="00FC15D8" w:rsidRDefault="000A2B8F">
            <w:pPr>
              <w:spacing w:after="0"/>
              <w:jc w:val="center"/>
            </w:pPr>
            <w:bookmarkStart w:id="743" w:name="74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AF5B6" w14:textId="77777777" w:rsidR="00FC15D8" w:rsidRDefault="000A2B8F">
            <w:pPr>
              <w:spacing w:after="0"/>
            </w:pPr>
            <w:bookmarkStart w:id="744" w:name="745"/>
            <w:bookmarkEnd w:id="743"/>
            <w:r>
              <w:rPr>
                <w:rFonts w:ascii="Arial"/>
                <w:color w:val="000000"/>
                <w:sz w:val="15"/>
              </w:rPr>
              <w:t>Корпоративне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взаємовідносин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11531" w14:textId="77777777" w:rsidR="00FC15D8" w:rsidRDefault="000A2B8F">
            <w:pPr>
              <w:spacing w:after="0"/>
            </w:pPr>
            <w:bookmarkStart w:id="745" w:name="746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6DCFB" w14:textId="77777777" w:rsidR="00FC15D8" w:rsidRDefault="000A2B8F">
            <w:pPr>
              <w:spacing w:after="0"/>
            </w:pPr>
            <w:bookmarkStart w:id="746" w:name="747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85D68" w14:textId="77777777" w:rsidR="00FC15D8" w:rsidRDefault="000A2B8F">
            <w:pPr>
              <w:spacing w:after="0"/>
            </w:pPr>
            <w:bookmarkStart w:id="747" w:name="748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7"/>
      </w:tr>
      <w:tr w:rsidR="00FC15D8" w14:paraId="37692C67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EB4C9" w14:textId="77777777" w:rsidR="00FC15D8" w:rsidRDefault="000A2B8F">
            <w:pPr>
              <w:spacing w:after="0"/>
              <w:jc w:val="center"/>
            </w:pPr>
            <w:bookmarkStart w:id="748" w:name="7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A5BA9" w14:textId="77777777" w:rsidR="00FC15D8" w:rsidRDefault="000A2B8F">
            <w:pPr>
              <w:spacing w:after="0"/>
            </w:pPr>
            <w:bookmarkStart w:id="749" w:name="750"/>
            <w:bookmarkEnd w:id="748"/>
            <w:r>
              <w:rPr>
                <w:rFonts w:ascii="Arial"/>
                <w:color w:val="000000"/>
                <w:sz w:val="15"/>
              </w:rPr>
              <w:t>Комплаєнс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B37AA" w14:textId="77777777" w:rsidR="00FC15D8" w:rsidRDefault="000A2B8F">
            <w:pPr>
              <w:spacing w:after="0"/>
            </w:pPr>
            <w:bookmarkStart w:id="750" w:name="751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3435B" w14:textId="77777777" w:rsidR="00FC15D8" w:rsidRDefault="000A2B8F">
            <w:pPr>
              <w:spacing w:after="0"/>
            </w:pPr>
            <w:bookmarkStart w:id="751" w:name="752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8BE8A7" w14:textId="77777777" w:rsidR="00FC15D8" w:rsidRDefault="000A2B8F">
            <w:pPr>
              <w:spacing w:after="0"/>
            </w:pPr>
            <w:bookmarkStart w:id="752" w:name="753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2"/>
      </w:tr>
      <w:tr w:rsidR="00FC15D8" w14:paraId="29C2A4F9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94E2C" w14:textId="77777777" w:rsidR="00FC15D8" w:rsidRDefault="000A2B8F">
            <w:pPr>
              <w:spacing w:after="0"/>
              <w:jc w:val="center"/>
            </w:pPr>
            <w:bookmarkStart w:id="753" w:name="75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8D743" w14:textId="77777777" w:rsidR="00FC15D8" w:rsidRDefault="000A2B8F">
            <w:pPr>
              <w:spacing w:after="0"/>
            </w:pPr>
            <w:bookmarkStart w:id="754" w:name="755"/>
            <w:bookmarkEnd w:id="753"/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6E0AF" w14:textId="77777777" w:rsidR="00FC15D8" w:rsidRDefault="000A2B8F">
            <w:pPr>
              <w:spacing w:after="0"/>
            </w:pPr>
            <w:bookmarkStart w:id="755" w:name="756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66E06" w14:textId="77777777" w:rsidR="00FC15D8" w:rsidRDefault="000A2B8F">
            <w:pPr>
              <w:spacing w:after="0"/>
            </w:pPr>
            <w:bookmarkStart w:id="756" w:name="757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7847E" w14:textId="77777777" w:rsidR="00FC15D8" w:rsidRDefault="000A2B8F">
            <w:pPr>
              <w:spacing w:after="0"/>
            </w:pPr>
            <w:bookmarkStart w:id="757" w:name="758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7"/>
      </w:tr>
      <w:tr w:rsidR="00FC15D8" w14:paraId="019428A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FBE13" w14:textId="77777777" w:rsidR="00FC15D8" w:rsidRDefault="000A2B8F">
            <w:pPr>
              <w:spacing w:after="0"/>
              <w:jc w:val="center"/>
            </w:pPr>
            <w:bookmarkStart w:id="758" w:name="7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B9BAB" w14:textId="77777777" w:rsidR="00FC15D8" w:rsidRDefault="000A2B8F">
            <w:pPr>
              <w:spacing w:after="0"/>
            </w:pPr>
            <w:bookmarkStart w:id="759" w:name="760"/>
            <w:bookmarkEnd w:id="758"/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ризиками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FD4E1" w14:textId="77777777" w:rsidR="00FC15D8" w:rsidRDefault="000A2B8F">
            <w:pPr>
              <w:spacing w:after="0"/>
            </w:pPr>
            <w:bookmarkStart w:id="760" w:name="761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D6627A" w14:textId="77777777" w:rsidR="00FC15D8" w:rsidRDefault="000A2B8F">
            <w:pPr>
              <w:spacing w:after="0"/>
            </w:pPr>
            <w:bookmarkStart w:id="761" w:name="762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8CB8A4" w14:textId="77777777" w:rsidR="00FC15D8" w:rsidRDefault="000A2B8F">
            <w:pPr>
              <w:spacing w:after="0"/>
            </w:pPr>
            <w:bookmarkStart w:id="762" w:name="763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2"/>
      </w:tr>
      <w:tr w:rsidR="00FC15D8" w14:paraId="3EE183BE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E81D35" w14:textId="77777777" w:rsidR="00FC15D8" w:rsidRDefault="000A2B8F">
            <w:pPr>
              <w:spacing w:after="0"/>
              <w:jc w:val="center"/>
            </w:pPr>
            <w:bookmarkStart w:id="763" w:name="7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36E0" w14:textId="77777777" w:rsidR="00FC15D8" w:rsidRDefault="000A2B8F">
            <w:pPr>
              <w:spacing w:after="0"/>
            </w:pPr>
            <w:bookmarkStart w:id="764" w:name="765"/>
            <w:bookmarkEnd w:id="763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клієнта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06EC53" w14:textId="77777777" w:rsidR="00FC15D8" w:rsidRDefault="000A2B8F">
            <w:pPr>
              <w:spacing w:after="0"/>
            </w:pPr>
            <w:bookmarkStart w:id="765" w:name="766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53683" w14:textId="77777777" w:rsidR="00FC15D8" w:rsidRDefault="000A2B8F">
            <w:pPr>
              <w:spacing w:after="0"/>
            </w:pPr>
            <w:bookmarkStart w:id="766" w:name="767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0640" w14:textId="77777777" w:rsidR="00FC15D8" w:rsidRDefault="000A2B8F">
            <w:pPr>
              <w:spacing w:after="0"/>
            </w:pPr>
            <w:bookmarkStart w:id="767" w:name="768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7"/>
      </w:tr>
      <w:tr w:rsidR="00FC15D8" w14:paraId="1F7B491E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87D63B" w14:textId="77777777" w:rsidR="00FC15D8" w:rsidRDefault="000A2B8F">
            <w:pPr>
              <w:spacing w:after="0"/>
              <w:jc w:val="center"/>
            </w:pPr>
            <w:bookmarkStart w:id="768" w:name="76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276D7" w14:textId="77777777" w:rsidR="00FC15D8" w:rsidRDefault="000A2B8F">
            <w:pPr>
              <w:spacing w:after="0"/>
            </w:pPr>
            <w:bookmarkStart w:id="769" w:name="770"/>
            <w:bookmarkEnd w:id="768"/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5F50A" w14:textId="77777777" w:rsidR="00FC15D8" w:rsidRDefault="000A2B8F">
            <w:pPr>
              <w:spacing w:after="0"/>
            </w:pPr>
            <w:bookmarkStart w:id="770" w:name="771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65FCA" w14:textId="77777777" w:rsidR="00FC15D8" w:rsidRDefault="000A2B8F">
            <w:pPr>
              <w:spacing w:after="0"/>
            </w:pPr>
            <w:bookmarkStart w:id="771" w:name="772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5BC73" w14:textId="77777777" w:rsidR="00FC15D8" w:rsidRDefault="000A2B8F">
            <w:pPr>
              <w:spacing w:after="0"/>
            </w:pPr>
            <w:bookmarkStart w:id="772" w:name="773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2"/>
      </w:tr>
      <w:tr w:rsidR="00FC15D8" w14:paraId="65C47E2A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0C65C" w14:textId="77777777" w:rsidR="00FC15D8" w:rsidRDefault="000A2B8F">
            <w:pPr>
              <w:spacing w:after="0"/>
              <w:jc w:val="center"/>
            </w:pPr>
            <w:bookmarkStart w:id="773" w:name="7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695AF" w14:textId="77777777" w:rsidR="00FC15D8" w:rsidRDefault="000A2B8F">
            <w:pPr>
              <w:spacing w:after="0"/>
            </w:pPr>
            <w:bookmarkStart w:id="774" w:name="775"/>
            <w:bookmarkEnd w:id="773"/>
            <w:r>
              <w:rPr>
                <w:rFonts w:ascii="Arial"/>
                <w:color w:val="000000"/>
                <w:sz w:val="15"/>
              </w:rPr>
              <w:t>Політика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співробітників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2161" w14:textId="77777777" w:rsidR="00FC15D8" w:rsidRDefault="000A2B8F">
            <w:pPr>
              <w:spacing w:after="0"/>
            </w:pPr>
            <w:bookmarkStart w:id="775" w:name="776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27907" w14:textId="77777777" w:rsidR="00FC15D8" w:rsidRDefault="000A2B8F">
            <w:pPr>
              <w:spacing w:after="0"/>
            </w:pPr>
            <w:bookmarkStart w:id="776" w:name="777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09E5E0" w14:textId="77777777" w:rsidR="00FC15D8" w:rsidRDefault="000A2B8F">
            <w:pPr>
              <w:spacing w:after="0"/>
            </w:pPr>
            <w:bookmarkStart w:id="777" w:name="778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7"/>
      </w:tr>
      <w:tr w:rsidR="00FC15D8" w14:paraId="0C04FBAF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290F83" w14:textId="77777777" w:rsidR="00FC15D8" w:rsidRDefault="000A2B8F">
            <w:pPr>
              <w:spacing w:after="0"/>
              <w:jc w:val="center"/>
            </w:pPr>
            <w:bookmarkStart w:id="778" w:name="77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4F0E7" w14:textId="77777777" w:rsidR="00FC15D8" w:rsidRDefault="000A2B8F">
            <w:pPr>
              <w:spacing w:after="0"/>
            </w:pPr>
            <w:bookmarkStart w:id="779" w:name="780"/>
            <w:bookmarkEnd w:id="778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аутсорсингу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DA9F5E" w14:textId="77777777" w:rsidR="00FC15D8" w:rsidRDefault="000A2B8F">
            <w:pPr>
              <w:spacing w:after="0"/>
            </w:pPr>
            <w:bookmarkStart w:id="780" w:name="781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209DA2" w14:textId="77777777" w:rsidR="00FC15D8" w:rsidRDefault="000A2B8F">
            <w:pPr>
              <w:spacing w:after="0"/>
            </w:pPr>
            <w:bookmarkStart w:id="781" w:name="782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C2A71" w14:textId="77777777" w:rsidR="00FC15D8" w:rsidRDefault="000A2B8F">
            <w:pPr>
              <w:spacing w:after="0"/>
            </w:pPr>
            <w:bookmarkStart w:id="782" w:name="783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"/>
      </w:tr>
      <w:tr w:rsidR="00FC15D8" w14:paraId="3029F928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818C1" w14:textId="77777777" w:rsidR="00FC15D8" w:rsidRDefault="000A2B8F">
            <w:pPr>
              <w:spacing w:after="0"/>
              <w:jc w:val="center"/>
            </w:pPr>
            <w:bookmarkStart w:id="783" w:name="78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1A7616" w14:textId="77777777" w:rsidR="00FC15D8" w:rsidRDefault="000A2B8F">
            <w:pPr>
              <w:spacing w:after="0"/>
            </w:pPr>
            <w:bookmarkStart w:id="784" w:name="785"/>
            <w:bookmarkEnd w:id="783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F8E5" w14:textId="77777777" w:rsidR="00FC15D8" w:rsidRDefault="000A2B8F">
            <w:pPr>
              <w:spacing w:after="0"/>
            </w:pPr>
            <w:bookmarkStart w:id="785" w:name="786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C926EE" w14:textId="77777777" w:rsidR="00FC15D8" w:rsidRDefault="000A2B8F">
            <w:pPr>
              <w:spacing w:after="0"/>
            </w:pPr>
            <w:bookmarkStart w:id="786" w:name="787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76C14" w14:textId="77777777" w:rsidR="00FC15D8" w:rsidRDefault="000A2B8F">
            <w:pPr>
              <w:spacing w:after="0"/>
            </w:pPr>
            <w:bookmarkStart w:id="787" w:name="788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7"/>
      </w:tr>
      <w:tr w:rsidR="00FC15D8" w14:paraId="36E02546" w14:textId="77777777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84EB8" w14:textId="77777777" w:rsidR="00FC15D8" w:rsidRDefault="000A2B8F">
            <w:pPr>
              <w:spacing w:after="0"/>
              <w:jc w:val="center"/>
            </w:pPr>
            <w:bookmarkStart w:id="788" w:name="78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9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0C4DB" w14:textId="77777777" w:rsidR="00FC15D8" w:rsidRDefault="000A2B8F">
            <w:pPr>
              <w:spacing w:after="0"/>
            </w:pPr>
            <w:bookmarkStart w:id="789" w:name="790"/>
            <w:bookmarkEnd w:id="78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CE180" w14:textId="77777777" w:rsidR="00FC15D8" w:rsidRDefault="000A2B8F">
            <w:pPr>
              <w:spacing w:after="0"/>
            </w:pPr>
            <w:bookmarkStart w:id="790" w:name="791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B39A1A" w14:textId="77777777" w:rsidR="00FC15D8" w:rsidRDefault="000A2B8F">
            <w:pPr>
              <w:spacing w:after="0"/>
            </w:pPr>
            <w:bookmarkStart w:id="791" w:name="792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2BD6E7" w14:textId="77777777" w:rsidR="00FC15D8" w:rsidRDefault="000A2B8F">
            <w:pPr>
              <w:spacing w:after="0"/>
            </w:pPr>
            <w:bookmarkStart w:id="792" w:name="793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2"/>
      </w:tr>
    </w:tbl>
    <w:p w14:paraId="5002C199" w14:textId="77777777" w:rsidR="00FC15D8" w:rsidRDefault="000A2B8F">
      <w:r>
        <w:br/>
      </w:r>
    </w:p>
    <w:p w14:paraId="14C9FC40" w14:textId="77777777" w:rsidR="00FC15D8" w:rsidRDefault="000A2B8F">
      <w:pPr>
        <w:spacing w:after="0"/>
        <w:ind w:firstLine="240"/>
      </w:pPr>
      <w:bookmarkStart w:id="793" w:name="794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14:paraId="23DEEBC8" w14:textId="77777777" w:rsidR="00FC15D8" w:rsidRDefault="000A2B8F">
      <w:pPr>
        <w:spacing w:after="0"/>
        <w:ind w:firstLine="240"/>
      </w:pPr>
      <w:bookmarkStart w:id="794" w:name="795"/>
      <w:bookmarkEnd w:id="793"/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14:paraId="3A082AE7" w14:textId="77777777" w:rsidR="00FC15D8" w:rsidRDefault="000A2B8F">
      <w:pPr>
        <w:spacing w:after="0"/>
        <w:ind w:firstLine="240"/>
      </w:pPr>
      <w:bookmarkStart w:id="795" w:name="796"/>
      <w:bookmarkEnd w:id="794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>:</w:t>
      </w:r>
    </w:p>
    <w:p w14:paraId="6662B230" w14:textId="77777777" w:rsidR="00FC15D8" w:rsidRDefault="000A2B8F">
      <w:pPr>
        <w:spacing w:after="0"/>
        <w:ind w:firstLine="240"/>
      </w:pPr>
      <w:bookmarkStart w:id="796" w:name="797"/>
      <w:bookmarkEnd w:id="795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14:paraId="735AC635" w14:textId="77777777" w:rsidR="00FC15D8" w:rsidRDefault="000A2B8F">
      <w:pPr>
        <w:spacing w:after="0"/>
        <w:ind w:firstLine="240"/>
      </w:pPr>
      <w:bookmarkStart w:id="797" w:name="798"/>
      <w:bookmarkEnd w:id="796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;</w:t>
      </w:r>
    </w:p>
    <w:p w14:paraId="7C72D93C" w14:textId="77777777" w:rsidR="00FC15D8" w:rsidRDefault="000A2B8F">
      <w:pPr>
        <w:spacing w:after="0"/>
        <w:ind w:firstLine="240"/>
      </w:pPr>
      <w:bookmarkStart w:id="798" w:name="799"/>
      <w:bookmarkEnd w:id="797"/>
      <w:r>
        <w:rPr>
          <w:rFonts w:ascii="Arial"/>
          <w:color w:val="000000"/>
          <w:sz w:val="18"/>
        </w:rPr>
        <w:t xml:space="preserve">3 -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.</w:t>
      </w:r>
    </w:p>
    <w:p w14:paraId="5D04C7E9" w14:textId="77777777" w:rsidR="00FC15D8" w:rsidRDefault="000A2B8F">
      <w:pPr>
        <w:spacing w:after="0"/>
        <w:ind w:firstLine="240"/>
      </w:pPr>
      <w:bookmarkStart w:id="799" w:name="800"/>
      <w:bookmarkEnd w:id="79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"-".</w:t>
      </w:r>
    </w:p>
    <w:p w14:paraId="1B760BE4" w14:textId="77777777" w:rsidR="00FC15D8" w:rsidRDefault="000A2B8F">
      <w:pPr>
        <w:spacing w:after="0"/>
        <w:ind w:firstLine="240"/>
      </w:pPr>
      <w:bookmarkStart w:id="800" w:name="801"/>
      <w:bookmarkEnd w:id="7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).</w:t>
      </w:r>
    </w:p>
    <w:p w14:paraId="1AB2DFEE" w14:textId="77777777" w:rsidR="00FC15D8" w:rsidRDefault="000A2B8F">
      <w:pPr>
        <w:spacing w:after="0"/>
        <w:jc w:val="center"/>
      </w:pPr>
      <w:bookmarkStart w:id="801" w:name="802"/>
      <w:bookmarkEnd w:id="800"/>
      <w:r>
        <w:rPr>
          <w:rFonts w:ascii="Arial"/>
          <w:color w:val="000000"/>
          <w:sz w:val="18"/>
        </w:rPr>
        <w:t>____________</w:t>
      </w:r>
    </w:p>
    <w:p w14:paraId="5B45667B" w14:textId="77777777" w:rsidR="00FC15D8" w:rsidRDefault="00FC15D8">
      <w:pPr>
        <w:spacing w:after="0"/>
        <w:ind w:firstLine="240"/>
      </w:pPr>
      <w:bookmarkStart w:id="802" w:name="803"/>
      <w:bookmarkEnd w:id="801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FC15D8" w14:paraId="6C22CF4A" w14:textId="77777777">
        <w:trPr>
          <w:tblCellSpacing w:w="20" w:type="dxa"/>
        </w:trPr>
        <w:tc>
          <w:tcPr>
            <w:tcW w:w="8410" w:type="dxa"/>
            <w:vAlign w:val="center"/>
          </w:tcPr>
          <w:bookmarkEnd w:id="802"/>
          <w:p w14:paraId="10795F4B" w14:textId="77777777" w:rsidR="00FC15D8" w:rsidRDefault="000A2B8F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2022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2022</w:t>
            </w:r>
          </w:p>
        </w:tc>
        <w:tc>
          <w:tcPr>
            <w:tcW w:w="1240" w:type="dxa"/>
            <w:vAlign w:val="center"/>
          </w:tcPr>
          <w:p w14:paraId="1B497539" w14:textId="77777777" w:rsidR="00FC15D8" w:rsidRDefault="000A2B8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859974B" wp14:editId="300DF89B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743F2" w14:textId="77777777" w:rsidR="00FC15D8" w:rsidRDefault="000A2B8F">
      <w:r>
        <w:br/>
      </w:r>
    </w:p>
    <w:sectPr w:rsidR="00FC1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8"/>
    <w:rsid w:val="000A2B8F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AA2"/>
  <w15:docId w15:val="{DB5AF64D-4D50-4AB6-963F-AEA19C7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27879</Words>
  <Characters>158916</Characters>
  <Application>Microsoft Office Word</Application>
  <DocSecurity>0</DocSecurity>
  <Lines>1324</Lines>
  <Paragraphs>372</Paragraphs>
  <ScaleCrop>false</ScaleCrop>
  <Company/>
  <LinksUpToDate>false</LinksUpToDate>
  <CharactersWithSpaces>186423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Юрковський Анатолій</cp:lastModifiedBy>
  <cp:revision>2</cp:revision>
  <dcterms:created xsi:type="dcterms:W3CDTF">2022-03-14T15:47:00Z</dcterms:created>
  <dcterms:modified xsi:type="dcterms:W3CDTF">2022-03-14T15:47:00Z</dcterms:modified>
</cp:coreProperties>
</file>