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9" w:type="dxa"/>
        <w:tblInd w:w="-426" w:type="dxa"/>
        <w:tblLayout w:type="fixed"/>
        <w:tblCellMar>
          <w:left w:w="56" w:type="dxa"/>
          <w:right w:w="56" w:type="dxa"/>
        </w:tblCellMar>
        <w:tblLook w:val="04A0" w:firstRow="1" w:lastRow="0" w:firstColumn="1" w:lastColumn="0" w:noHBand="0" w:noVBand="1"/>
      </w:tblPr>
      <w:tblGrid>
        <w:gridCol w:w="4764"/>
        <w:gridCol w:w="1559"/>
        <w:gridCol w:w="4736"/>
      </w:tblGrid>
      <w:tr w:rsidR="00387AA6" w:rsidRPr="00390161" w:rsidTr="00C367F3">
        <w:trPr>
          <w:cantSplit/>
          <w:trHeight w:val="1843"/>
        </w:trPr>
        <w:tc>
          <w:tcPr>
            <w:tcW w:w="4764" w:type="dxa"/>
            <w:shd w:val="pct5" w:color="auto" w:fill="auto"/>
          </w:tcPr>
          <w:p w:rsidR="00387AA6" w:rsidRPr="00AB69E3" w:rsidRDefault="00387AA6" w:rsidP="00E520B0">
            <w:pPr>
              <w:jc w:val="right"/>
              <w:rPr>
                <w:b/>
                <w:noProof/>
              </w:rPr>
            </w:pPr>
          </w:p>
          <w:p w:rsidR="00387AA6" w:rsidRPr="00390161" w:rsidRDefault="00387AA6" w:rsidP="00E520B0">
            <w:pPr>
              <w:jc w:val="center"/>
              <w:rPr>
                <w:b/>
                <w:noProof/>
              </w:rPr>
            </w:pPr>
            <w:r w:rsidRPr="00390161">
              <w:rPr>
                <w:b/>
                <w:noProof/>
              </w:rPr>
              <w:t>УКРАЇНСЬКА АСОЦІАЦІЯ</w:t>
            </w:r>
          </w:p>
          <w:p w:rsidR="00387AA6" w:rsidRPr="00390161" w:rsidRDefault="00387AA6" w:rsidP="00E520B0">
            <w:pPr>
              <w:jc w:val="center"/>
              <w:rPr>
                <w:b/>
                <w:noProof/>
              </w:rPr>
            </w:pPr>
            <w:r w:rsidRPr="00390161">
              <w:rPr>
                <w:b/>
                <w:noProof/>
              </w:rPr>
              <w:t>ІНВЕСТИЦІЙНОГО БІЗНЕСУ</w:t>
            </w:r>
          </w:p>
          <w:p w:rsidR="00387AA6" w:rsidRPr="00390161" w:rsidRDefault="00387AA6" w:rsidP="00E520B0">
            <w:pPr>
              <w:pStyle w:val="1"/>
              <w:jc w:val="center"/>
              <w:rPr>
                <w:noProof/>
                <w:sz w:val="22"/>
                <w:szCs w:val="22"/>
                <w:lang w:val="uk-UA"/>
              </w:rPr>
            </w:pPr>
            <w:r w:rsidRPr="00390161">
              <w:rPr>
                <w:noProof/>
                <w:sz w:val="22"/>
                <w:szCs w:val="22"/>
                <w:lang w:val="uk-UA"/>
              </w:rPr>
              <w:t>Саморегулівна організація</w:t>
            </w:r>
          </w:p>
          <w:p w:rsidR="00387AA6" w:rsidRPr="00390161" w:rsidRDefault="00387AA6" w:rsidP="007C42A1">
            <w:pPr>
              <w:rPr>
                <w:b/>
                <w:noProof/>
                <w:sz w:val="20"/>
              </w:rPr>
            </w:pPr>
            <w:r w:rsidRPr="00390161">
              <w:rPr>
                <w:b/>
                <w:noProof/>
              </w:rPr>
              <w:t>______________________________________</w:t>
            </w:r>
          </w:p>
          <w:p w:rsidR="00387AA6" w:rsidRPr="00390161" w:rsidRDefault="00387AA6" w:rsidP="00E520B0">
            <w:pPr>
              <w:jc w:val="right"/>
              <w:rPr>
                <w:b/>
                <w:noProof/>
                <w:sz w:val="22"/>
                <w:szCs w:val="22"/>
              </w:rPr>
            </w:pPr>
            <w:r w:rsidRPr="00390161">
              <w:rPr>
                <w:b/>
                <w:noProof/>
                <w:sz w:val="22"/>
                <w:szCs w:val="22"/>
              </w:rPr>
              <w:t xml:space="preserve">вул. Предславинська, 28 </w:t>
            </w:r>
          </w:p>
          <w:p w:rsidR="00387AA6" w:rsidRPr="00390161" w:rsidRDefault="00387AA6" w:rsidP="00E520B0">
            <w:pPr>
              <w:jc w:val="right"/>
              <w:rPr>
                <w:b/>
                <w:noProof/>
                <w:sz w:val="22"/>
                <w:szCs w:val="22"/>
              </w:rPr>
            </w:pPr>
            <w:r w:rsidRPr="00390161">
              <w:rPr>
                <w:b/>
                <w:noProof/>
                <w:sz w:val="22"/>
                <w:szCs w:val="22"/>
              </w:rPr>
              <w:t xml:space="preserve">       03</w:t>
            </w:r>
            <w:r w:rsidR="00004BA0" w:rsidRPr="00390161">
              <w:rPr>
                <w:b/>
                <w:noProof/>
                <w:sz w:val="22"/>
                <w:szCs w:val="22"/>
              </w:rPr>
              <w:t>150</w:t>
            </w:r>
            <w:r w:rsidRPr="00390161">
              <w:rPr>
                <w:b/>
                <w:noProof/>
                <w:sz w:val="22"/>
                <w:szCs w:val="22"/>
              </w:rPr>
              <w:t>, м. Київ, Україна</w:t>
            </w:r>
          </w:p>
          <w:p w:rsidR="00387AA6" w:rsidRPr="00390161" w:rsidRDefault="00387AA6" w:rsidP="00E520B0">
            <w:pPr>
              <w:jc w:val="right"/>
              <w:rPr>
                <w:b/>
                <w:noProof/>
                <w:sz w:val="22"/>
                <w:szCs w:val="22"/>
              </w:rPr>
            </w:pPr>
            <w:r w:rsidRPr="00390161">
              <w:rPr>
                <w:b/>
                <w:noProof/>
                <w:sz w:val="22"/>
                <w:szCs w:val="22"/>
              </w:rPr>
              <w:t>Телефон/факс: (044) 528-72-66, 528-72-70</w:t>
            </w:r>
          </w:p>
          <w:p w:rsidR="00387AA6" w:rsidRPr="00390161" w:rsidRDefault="00387AA6" w:rsidP="00E520B0">
            <w:pPr>
              <w:jc w:val="right"/>
              <w:rPr>
                <w:b/>
                <w:noProof/>
              </w:rPr>
            </w:pPr>
            <w:r w:rsidRPr="00390161">
              <w:rPr>
                <w:b/>
                <w:noProof/>
                <w:sz w:val="22"/>
                <w:szCs w:val="22"/>
              </w:rPr>
              <w:t xml:space="preserve">E-mail: office@uaib.com.ua </w:t>
            </w:r>
            <w:r w:rsidRPr="00390161">
              <w:rPr>
                <w:b/>
                <w:noProof/>
              </w:rPr>
              <w:t xml:space="preserve">            </w:t>
            </w:r>
          </w:p>
        </w:tc>
        <w:tc>
          <w:tcPr>
            <w:tcW w:w="1559" w:type="dxa"/>
            <w:shd w:val="clear" w:color="auto" w:fill="auto"/>
            <w:hideMark/>
          </w:tcPr>
          <w:p w:rsidR="00387AA6" w:rsidRPr="00390161" w:rsidRDefault="00FA78BC" w:rsidP="00E520B0">
            <w:pPr>
              <w:jc w:val="center"/>
              <w:rPr>
                <w:b/>
                <w:noProof/>
              </w:rPr>
            </w:pPr>
            <w:r w:rsidRPr="00390161">
              <w:rPr>
                <w:b/>
                <w:noProof/>
              </w:rPr>
              <w:drawing>
                <wp:inline distT="0" distB="0" distL="0" distR="0">
                  <wp:extent cx="850900" cy="970280"/>
                  <wp:effectExtent l="0" t="0" r="6350" b="127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970280"/>
                          </a:xfrm>
                          <a:prstGeom prst="rect">
                            <a:avLst/>
                          </a:prstGeom>
                          <a:noFill/>
                          <a:ln>
                            <a:noFill/>
                          </a:ln>
                        </pic:spPr>
                      </pic:pic>
                    </a:graphicData>
                  </a:graphic>
                </wp:inline>
              </w:drawing>
            </w:r>
          </w:p>
        </w:tc>
        <w:tc>
          <w:tcPr>
            <w:tcW w:w="4736" w:type="dxa"/>
            <w:shd w:val="pct5" w:color="auto" w:fill="auto"/>
          </w:tcPr>
          <w:p w:rsidR="00387AA6" w:rsidRPr="00390161" w:rsidRDefault="00387AA6" w:rsidP="007C42A1">
            <w:pPr>
              <w:rPr>
                <w:b/>
                <w:noProof/>
              </w:rPr>
            </w:pPr>
          </w:p>
          <w:p w:rsidR="00387AA6" w:rsidRPr="00390161" w:rsidRDefault="00387AA6" w:rsidP="00E520B0">
            <w:pPr>
              <w:jc w:val="center"/>
              <w:rPr>
                <w:b/>
                <w:noProof/>
              </w:rPr>
            </w:pPr>
            <w:r w:rsidRPr="00390161">
              <w:rPr>
                <w:b/>
                <w:noProof/>
              </w:rPr>
              <w:t>UKRAINIAN ASSOCIATION</w:t>
            </w:r>
          </w:p>
          <w:p w:rsidR="00387AA6" w:rsidRPr="00390161" w:rsidRDefault="00387AA6" w:rsidP="00E520B0">
            <w:pPr>
              <w:jc w:val="center"/>
              <w:rPr>
                <w:b/>
                <w:noProof/>
              </w:rPr>
            </w:pPr>
            <w:r w:rsidRPr="00390161">
              <w:rPr>
                <w:b/>
                <w:noProof/>
              </w:rPr>
              <w:t>OF INVESTMENT BUSINESS</w:t>
            </w:r>
          </w:p>
          <w:p w:rsidR="00387AA6" w:rsidRPr="00390161" w:rsidRDefault="00387AA6" w:rsidP="00E520B0">
            <w:pPr>
              <w:pStyle w:val="1"/>
              <w:jc w:val="center"/>
              <w:rPr>
                <w:noProof/>
                <w:sz w:val="22"/>
                <w:szCs w:val="22"/>
                <w:lang w:val="uk-UA"/>
              </w:rPr>
            </w:pPr>
            <w:r w:rsidRPr="00390161">
              <w:rPr>
                <w:noProof/>
                <w:sz w:val="22"/>
                <w:szCs w:val="22"/>
                <w:lang w:val="uk-UA"/>
              </w:rPr>
              <w:t>Self-regulatory organisation</w:t>
            </w:r>
          </w:p>
          <w:p w:rsidR="00387AA6" w:rsidRPr="00390161" w:rsidRDefault="00387AA6" w:rsidP="007C42A1">
            <w:pPr>
              <w:rPr>
                <w:b/>
                <w:noProof/>
                <w:sz w:val="20"/>
              </w:rPr>
            </w:pPr>
            <w:r w:rsidRPr="00390161">
              <w:rPr>
                <w:b/>
                <w:noProof/>
              </w:rPr>
              <w:t>___________________________________</w:t>
            </w:r>
          </w:p>
          <w:p w:rsidR="00387AA6" w:rsidRPr="00390161" w:rsidRDefault="00382314" w:rsidP="007C42A1">
            <w:pPr>
              <w:rPr>
                <w:b/>
                <w:noProof/>
                <w:sz w:val="22"/>
                <w:szCs w:val="22"/>
              </w:rPr>
            </w:pPr>
            <w:r w:rsidRPr="00390161">
              <w:rPr>
                <w:b/>
                <w:noProof/>
                <w:sz w:val="22"/>
                <w:szCs w:val="22"/>
              </w:rPr>
              <w:t>28</w:t>
            </w:r>
            <w:r w:rsidR="00387AA6" w:rsidRPr="00390161">
              <w:rPr>
                <w:b/>
                <w:noProof/>
                <w:sz w:val="22"/>
                <w:szCs w:val="22"/>
              </w:rPr>
              <w:t xml:space="preserve"> Predslavynska St</w:t>
            </w:r>
          </w:p>
          <w:p w:rsidR="00387AA6" w:rsidRPr="00390161" w:rsidRDefault="00387AA6" w:rsidP="007C42A1">
            <w:pPr>
              <w:rPr>
                <w:b/>
                <w:noProof/>
                <w:sz w:val="22"/>
                <w:szCs w:val="22"/>
              </w:rPr>
            </w:pPr>
            <w:r w:rsidRPr="00390161">
              <w:rPr>
                <w:b/>
                <w:noProof/>
                <w:sz w:val="22"/>
                <w:szCs w:val="22"/>
              </w:rPr>
              <w:t>03</w:t>
            </w:r>
            <w:r w:rsidR="00004BA0" w:rsidRPr="00390161">
              <w:rPr>
                <w:b/>
                <w:noProof/>
                <w:sz w:val="22"/>
                <w:szCs w:val="22"/>
              </w:rPr>
              <w:t>150</w:t>
            </w:r>
            <w:r w:rsidRPr="00390161">
              <w:rPr>
                <w:b/>
                <w:noProof/>
                <w:sz w:val="22"/>
                <w:szCs w:val="22"/>
              </w:rPr>
              <w:t xml:space="preserve"> Kyiv, Ukraine</w:t>
            </w:r>
          </w:p>
          <w:p w:rsidR="00387AA6" w:rsidRPr="00390161" w:rsidRDefault="00387AA6" w:rsidP="007C42A1">
            <w:pPr>
              <w:rPr>
                <w:b/>
                <w:noProof/>
                <w:sz w:val="22"/>
                <w:szCs w:val="22"/>
              </w:rPr>
            </w:pPr>
            <w:r w:rsidRPr="00390161">
              <w:rPr>
                <w:b/>
                <w:noProof/>
                <w:sz w:val="22"/>
                <w:szCs w:val="22"/>
              </w:rPr>
              <w:t>Tel./fax: 528-72 -66, 528-72-70</w:t>
            </w:r>
          </w:p>
          <w:p w:rsidR="00387AA6" w:rsidRPr="00390161" w:rsidRDefault="00387AA6" w:rsidP="007C42A1">
            <w:pPr>
              <w:rPr>
                <w:b/>
                <w:noProof/>
              </w:rPr>
            </w:pPr>
            <w:r w:rsidRPr="00390161">
              <w:rPr>
                <w:b/>
                <w:noProof/>
                <w:sz w:val="22"/>
                <w:szCs w:val="22"/>
              </w:rPr>
              <w:t xml:space="preserve">E-mail: </w:t>
            </w:r>
            <w:hyperlink r:id="rId8" w:history="1">
              <w:r w:rsidR="000D51BD" w:rsidRPr="00390161">
                <w:rPr>
                  <w:rStyle w:val="a3"/>
                  <w:b/>
                  <w:noProof/>
                  <w:sz w:val="22"/>
                  <w:szCs w:val="22"/>
                </w:rPr>
                <w:t>office@uaib.com.ua</w:t>
              </w:r>
            </w:hyperlink>
          </w:p>
        </w:tc>
      </w:tr>
    </w:tbl>
    <w:p w:rsidR="00387AA6" w:rsidRPr="00390161" w:rsidRDefault="00387AA6" w:rsidP="00A2186F">
      <w:pPr>
        <w:shd w:val="clear" w:color="auto" w:fill="FFFFFF"/>
        <w:spacing w:line="278" w:lineRule="exact"/>
        <w:ind w:left="14" w:right="10" w:firstLine="725"/>
        <w:jc w:val="both"/>
        <w:rPr>
          <w:noProof/>
          <w:spacing w:val="3"/>
        </w:rPr>
      </w:pPr>
    </w:p>
    <w:p w:rsidR="00387AA6" w:rsidRPr="00390161" w:rsidRDefault="00387AA6" w:rsidP="005D593F">
      <w:pPr>
        <w:shd w:val="clear" w:color="auto" w:fill="FFFFFF"/>
        <w:spacing w:line="312" w:lineRule="auto"/>
        <w:ind w:right="282"/>
        <w:jc w:val="both"/>
        <w:rPr>
          <w:rStyle w:val="rvts23"/>
          <w:noProof/>
        </w:rPr>
      </w:pPr>
      <w:r w:rsidRPr="00390161">
        <w:rPr>
          <w:rStyle w:val="rvts23"/>
          <w:noProof/>
        </w:rPr>
        <w:t xml:space="preserve"> Вих. №</w:t>
      </w:r>
      <w:r w:rsidR="00390161">
        <w:rPr>
          <w:rStyle w:val="rvts23"/>
          <w:noProof/>
          <w:lang w:val="en-US"/>
        </w:rPr>
        <w:t>151</w:t>
      </w:r>
      <w:r w:rsidRPr="00390161">
        <w:rPr>
          <w:rStyle w:val="rvts23"/>
          <w:noProof/>
        </w:rPr>
        <w:tab/>
      </w:r>
      <w:r w:rsidRPr="00390161">
        <w:rPr>
          <w:rStyle w:val="rvts23"/>
          <w:noProof/>
        </w:rPr>
        <w:tab/>
      </w:r>
      <w:r w:rsidRPr="00390161">
        <w:rPr>
          <w:rStyle w:val="rvts23"/>
          <w:noProof/>
        </w:rPr>
        <w:tab/>
        <w:t xml:space="preserve">                                                                   </w:t>
      </w:r>
      <w:r w:rsidR="00560D43" w:rsidRPr="00390161">
        <w:rPr>
          <w:rStyle w:val="rvts23"/>
          <w:noProof/>
        </w:rPr>
        <w:t xml:space="preserve">  </w:t>
      </w:r>
      <w:r w:rsidRPr="00390161">
        <w:rPr>
          <w:rStyle w:val="rvts23"/>
          <w:noProof/>
        </w:rPr>
        <w:t xml:space="preserve"> </w:t>
      </w:r>
      <w:r w:rsidR="002D1731" w:rsidRPr="00390161">
        <w:rPr>
          <w:rStyle w:val="rvts23"/>
          <w:noProof/>
        </w:rPr>
        <w:t>Голові</w:t>
      </w:r>
      <w:r w:rsidRPr="00390161">
        <w:rPr>
          <w:rStyle w:val="rvts23"/>
          <w:noProof/>
        </w:rPr>
        <w:t xml:space="preserve"> Національної комісії</w:t>
      </w:r>
    </w:p>
    <w:p w:rsidR="00387AA6" w:rsidRPr="00390161" w:rsidRDefault="00387AA6" w:rsidP="005D593F">
      <w:pPr>
        <w:shd w:val="clear" w:color="auto" w:fill="FFFFFF"/>
        <w:spacing w:line="312" w:lineRule="auto"/>
        <w:ind w:right="282"/>
        <w:rPr>
          <w:rStyle w:val="rvts23"/>
          <w:noProof/>
        </w:rPr>
      </w:pPr>
      <w:r w:rsidRPr="00390161">
        <w:rPr>
          <w:rStyle w:val="rvts23"/>
          <w:noProof/>
        </w:rPr>
        <w:t xml:space="preserve"> </w:t>
      </w:r>
      <w:r w:rsidR="00025759" w:rsidRPr="00390161">
        <w:rPr>
          <w:rStyle w:val="rvts23"/>
          <w:noProof/>
        </w:rPr>
        <w:t xml:space="preserve">Від </w:t>
      </w:r>
      <w:r w:rsidR="000D51BD" w:rsidRPr="00390161">
        <w:rPr>
          <w:rStyle w:val="rvts23"/>
          <w:noProof/>
        </w:rPr>
        <w:t>21</w:t>
      </w:r>
      <w:r w:rsidRPr="00390161">
        <w:rPr>
          <w:rStyle w:val="rvts23"/>
          <w:noProof/>
        </w:rPr>
        <w:t>.</w:t>
      </w:r>
      <w:r w:rsidR="000D51BD" w:rsidRPr="00390161">
        <w:rPr>
          <w:rStyle w:val="rvts23"/>
          <w:noProof/>
        </w:rPr>
        <w:t>11</w:t>
      </w:r>
      <w:r w:rsidRPr="00390161">
        <w:rPr>
          <w:rStyle w:val="rvts23"/>
          <w:noProof/>
        </w:rPr>
        <w:t>.</w:t>
      </w:r>
      <w:r w:rsidR="0082717E" w:rsidRPr="00390161">
        <w:rPr>
          <w:rStyle w:val="rvts23"/>
          <w:noProof/>
        </w:rPr>
        <w:t>2</w:t>
      </w:r>
      <w:r w:rsidR="00A001BE" w:rsidRPr="00390161">
        <w:rPr>
          <w:rStyle w:val="rvts23"/>
          <w:noProof/>
        </w:rPr>
        <w:t>3</w:t>
      </w:r>
      <w:r w:rsidRPr="00390161">
        <w:rPr>
          <w:rStyle w:val="rvts23"/>
          <w:noProof/>
        </w:rPr>
        <w:t xml:space="preserve"> р.                                                                           </w:t>
      </w:r>
      <w:r w:rsidR="007104A6" w:rsidRPr="00390161">
        <w:rPr>
          <w:rStyle w:val="rvts23"/>
          <w:noProof/>
        </w:rPr>
        <w:t xml:space="preserve"> </w:t>
      </w:r>
      <w:r w:rsidRPr="00390161">
        <w:rPr>
          <w:rStyle w:val="rvts23"/>
          <w:noProof/>
        </w:rPr>
        <w:t xml:space="preserve">з цінних паперів та фондового ринку </w:t>
      </w:r>
    </w:p>
    <w:p w:rsidR="00387AA6" w:rsidRPr="00390161" w:rsidRDefault="00A2186F" w:rsidP="005D593F">
      <w:pPr>
        <w:shd w:val="clear" w:color="auto" w:fill="FFFFFF"/>
        <w:spacing w:line="312" w:lineRule="auto"/>
        <w:ind w:right="282"/>
        <w:jc w:val="right"/>
        <w:rPr>
          <w:rStyle w:val="rvts23"/>
          <w:noProof/>
        </w:rPr>
      </w:pPr>
      <w:r w:rsidRPr="00390161">
        <w:rPr>
          <w:rStyle w:val="rvts23"/>
          <w:noProof/>
        </w:rPr>
        <w:t xml:space="preserve"> </w:t>
      </w:r>
      <w:r w:rsidR="00387AA6" w:rsidRPr="00390161">
        <w:rPr>
          <w:rStyle w:val="rvts23"/>
          <w:noProof/>
        </w:rPr>
        <w:t xml:space="preserve">          </w:t>
      </w:r>
      <w:r w:rsidRPr="00390161">
        <w:rPr>
          <w:rStyle w:val="rvts23"/>
          <w:noProof/>
        </w:rPr>
        <w:t xml:space="preserve">                 </w:t>
      </w:r>
      <w:r w:rsidR="00387AA6" w:rsidRPr="00390161">
        <w:rPr>
          <w:rStyle w:val="rvts23"/>
          <w:noProof/>
        </w:rPr>
        <w:t xml:space="preserve">пану </w:t>
      </w:r>
      <w:r w:rsidR="002D1731" w:rsidRPr="00390161">
        <w:rPr>
          <w:rStyle w:val="rvts23"/>
          <w:noProof/>
          <w:lang w:val="ru-RU"/>
        </w:rPr>
        <w:t>Магомедову Р</w:t>
      </w:r>
      <w:r w:rsidR="00387AA6" w:rsidRPr="00390161">
        <w:rPr>
          <w:rStyle w:val="rvts23"/>
          <w:noProof/>
        </w:rPr>
        <w:t>.</w:t>
      </w:r>
      <w:r w:rsidR="002D1731" w:rsidRPr="00390161">
        <w:rPr>
          <w:rStyle w:val="rvts23"/>
          <w:noProof/>
        </w:rPr>
        <w:t xml:space="preserve"> </w:t>
      </w:r>
      <w:r w:rsidR="002D1731" w:rsidRPr="00390161">
        <w:rPr>
          <w:rStyle w:val="rvts23"/>
          <w:noProof/>
          <w:lang w:val="ru-RU"/>
        </w:rPr>
        <w:t>С</w:t>
      </w:r>
      <w:r w:rsidR="00560D43" w:rsidRPr="00390161">
        <w:rPr>
          <w:rStyle w:val="rvts23"/>
          <w:noProof/>
        </w:rPr>
        <w:t>.</w:t>
      </w:r>
    </w:p>
    <w:p w:rsidR="003E6444" w:rsidRPr="00390161" w:rsidRDefault="003E6444" w:rsidP="005D593F">
      <w:pPr>
        <w:shd w:val="clear" w:color="auto" w:fill="FFFFFF"/>
        <w:spacing w:line="312" w:lineRule="auto"/>
        <w:ind w:right="282"/>
        <w:jc w:val="right"/>
        <w:rPr>
          <w:rStyle w:val="rvts23"/>
          <w:noProof/>
          <w:color w:val="FF0000"/>
        </w:rPr>
      </w:pPr>
    </w:p>
    <w:p w:rsidR="00387AA6" w:rsidRPr="00390161" w:rsidRDefault="00387AA6" w:rsidP="005D593F">
      <w:pPr>
        <w:shd w:val="clear" w:color="auto" w:fill="FFFFFF"/>
        <w:spacing w:line="312" w:lineRule="auto"/>
        <w:ind w:left="181" w:right="282" w:firstLine="726"/>
        <w:jc w:val="center"/>
        <w:rPr>
          <w:rStyle w:val="rvts23"/>
          <w:noProof/>
        </w:rPr>
      </w:pPr>
    </w:p>
    <w:p w:rsidR="00387AA6" w:rsidRPr="00390161" w:rsidRDefault="00387AA6" w:rsidP="005D593F">
      <w:pPr>
        <w:shd w:val="clear" w:color="auto" w:fill="FFFFFF"/>
        <w:spacing w:line="312" w:lineRule="auto"/>
        <w:ind w:left="181" w:right="282" w:firstLine="726"/>
        <w:jc w:val="center"/>
        <w:rPr>
          <w:b/>
          <w:bCs/>
          <w:i/>
          <w:iCs/>
          <w:noProof/>
          <w:spacing w:val="3"/>
        </w:rPr>
      </w:pPr>
      <w:r w:rsidRPr="00390161">
        <w:rPr>
          <w:b/>
          <w:bCs/>
          <w:i/>
          <w:iCs/>
          <w:noProof/>
          <w:spacing w:val="3"/>
        </w:rPr>
        <w:t xml:space="preserve">Шановний </w:t>
      </w:r>
      <w:r w:rsidR="002D1731" w:rsidRPr="00390161">
        <w:rPr>
          <w:b/>
          <w:i/>
          <w:noProof/>
        </w:rPr>
        <w:t>Руслане Садрудиновичу</w:t>
      </w:r>
      <w:r w:rsidRPr="00390161">
        <w:rPr>
          <w:b/>
          <w:bCs/>
          <w:i/>
          <w:iCs/>
          <w:noProof/>
          <w:spacing w:val="3"/>
        </w:rPr>
        <w:t>!</w:t>
      </w:r>
    </w:p>
    <w:p w:rsidR="00387AA6" w:rsidRPr="00390161" w:rsidRDefault="00387AA6" w:rsidP="005D593F">
      <w:pPr>
        <w:shd w:val="clear" w:color="auto" w:fill="FFFFFF"/>
        <w:spacing w:line="312" w:lineRule="auto"/>
        <w:ind w:left="181" w:right="282" w:firstLine="726"/>
        <w:jc w:val="center"/>
        <w:rPr>
          <w:noProof/>
        </w:rPr>
      </w:pPr>
    </w:p>
    <w:p w:rsidR="008C164A" w:rsidRPr="00390161" w:rsidRDefault="008C164A" w:rsidP="008C164A">
      <w:pPr>
        <w:shd w:val="clear" w:color="auto" w:fill="FFFFFF"/>
        <w:spacing w:line="312" w:lineRule="auto"/>
        <w:ind w:left="284" w:right="282" w:firstLine="726"/>
        <w:jc w:val="both"/>
        <w:rPr>
          <w:noProof/>
        </w:rPr>
      </w:pPr>
      <w:r w:rsidRPr="00390161">
        <w:rPr>
          <w:noProof/>
        </w:rPr>
        <w:t xml:space="preserve">У зв’язку з прийняттям НКЦПФР Рішення №1296 від 17.11.2023 «Про внесення змін до рішення Національної комісії з цінних паперів та фондового ринку від 29 вересня 2022 року №1221» (далі – відповідно, Рішення №1296, Рішення №1221) та з численними зверненнями до Української асоціації інвестиційного бізнесу (далі – УАІБ, Асоціація) її членів щодо цих змін, зокрема щодо зміненого порядку розрахунку нормативу ліквідності активів (далі – НЛА), звертаємося до Вас із таким. </w:t>
      </w:r>
    </w:p>
    <w:p w:rsidR="008C164A" w:rsidRPr="00390161" w:rsidRDefault="008C164A" w:rsidP="008C164A">
      <w:pPr>
        <w:shd w:val="clear" w:color="auto" w:fill="FFFFFF"/>
        <w:spacing w:line="312" w:lineRule="auto"/>
        <w:ind w:left="284" w:right="282" w:firstLine="726"/>
        <w:jc w:val="both"/>
        <w:rPr>
          <w:noProof/>
        </w:rPr>
      </w:pPr>
      <w:r w:rsidRPr="00390161">
        <w:t>К</w:t>
      </w:r>
      <w:r w:rsidRPr="00390161">
        <w:rPr>
          <w:noProof/>
        </w:rPr>
        <w:t>омпанії з управління активами (далі – КУА) здійснюють діяльність з управління активами інституційних інвесторів, яка, згідно із законодавством, не передбачає наявності торгового портфеля. Те ж саме стосується й адміністраторів недержавних пенсійних фондів (далі – АНПФ). Відповідно, у КУА та АНПФ відсутні зобов'язання щодо обов'язкового продажу належних їм цінних паперів.</w:t>
      </w:r>
    </w:p>
    <w:p w:rsidR="008C164A" w:rsidRPr="00390161" w:rsidRDefault="008C164A" w:rsidP="008C164A">
      <w:pPr>
        <w:shd w:val="clear" w:color="auto" w:fill="FFFFFF"/>
        <w:spacing w:line="312" w:lineRule="auto"/>
        <w:ind w:left="284" w:right="282" w:firstLine="726"/>
        <w:jc w:val="both"/>
        <w:rPr>
          <w:noProof/>
        </w:rPr>
      </w:pPr>
      <w:r w:rsidRPr="00390161">
        <w:rPr>
          <w:noProof/>
        </w:rPr>
        <w:t>КУА та АНПФ зазвичай утримують облігації внутрішньої або зовнішньої державної позики (далі – відповідно, ОВДП, ОЗДП) до погашення. Погашення ОВДП (й інших державних цінних паперів) та виплата доходів за ними – гарантовані державою, тобто ці інструменти є найбільш надійними фінансовими інструментами в Україні, однозначно надійнішими, ніж банківські депозити, адже там існує ризик банку (а Фонд гарантування вкладів не гарантує вкладення юридичних осіб). Таким чином, неврахування ОВДП, що перебувають у портфелі до погашення, в розрахунку НЛА значно збільшує ризиковість діяльності для КУА та АНПФ, а також знижує попит на державні цінні папери й, відповідно, шкодить державним інтересам України. Внаслідок змін, внесених Рішенням №1296, КУА та АНПФ переважно будуть змушені позбуватися державних цінних паперів зі своїх портфелів і утримувати практично всі ліквідні кошти на депозитах у банках або вкладати їх в іноземні цінні папери. При цьому наразі КУА й АНПФ придбавають та тримають ОВДП та ОЗДП у тому числі з метою інвестування в Україну й підтримки її оборонного комплексу під час військової агресії рф.</w:t>
      </w:r>
    </w:p>
    <w:p w:rsidR="000D51BD" w:rsidRPr="00390161" w:rsidRDefault="007A61DE" w:rsidP="000D51BD">
      <w:pPr>
        <w:shd w:val="clear" w:color="auto" w:fill="FFFFFF"/>
        <w:spacing w:line="312" w:lineRule="auto"/>
        <w:ind w:left="284" w:right="282" w:firstLine="726"/>
        <w:jc w:val="both"/>
        <w:rPr>
          <w:noProof/>
        </w:rPr>
      </w:pPr>
      <w:r w:rsidRPr="00390161">
        <w:rPr>
          <w:noProof/>
        </w:rPr>
        <w:t>Крім того, з</w:t>
      </w:r>
      <w:r w:rsidR="000D51BD" w:rsidRPr="00390161">
        <w:rPr>
          <w:noProof/>
        </w:rPr>
        <w:t xml:space="preserve">азначені у Рішенні №1296 ресурси </w:t>
      </w:r>
      <w:r w:rsidRPr="00390161">
        <w:rPr>
          <w:noProof/>
        </w:rPr>
        <w:t xml:space="preserve">для використання при оцінці ОЗДП </w:t>
      </w:r>
      <w:r w:rsidR="000D51BD" w:rsidRPr="00390161">
        <w:rPr>
          <w:noProof/>
        </w:rPr>
        <w:t xml:space="preserve">є закритими і платними, а КУА </w:t>
      </w:r>
      <w:r w:rsidR="000D51BD" w:rsidRPr="00390161">
        <w:rPr>
          <w:noProof/>
        </w:rPr>
        <w:t xml:space="preserve">й </w:t>
      </w:r>
      <w:r w:rsidR="000D51BD" w:rsidRPr="00390161">
        <w:rPr>
          <w:noProof/>
        </w:rPr>
        <w:t>АНПФ</w:t>
      </w:r>
      <w:r w:rsidR="000D51BD" w:rsidRPr="00390161">
        <w:rPr>
          <w:noProof/>
        </w:rPr>
        <w:t xml:space="preserve"> </w:t>
      </w:r>
      <w:r w:rsidR="000D51BD" w:rsidRPr="00390161">
        <w:rPr>
          <w:noProof/>
        </w:rPr>
        <w:t xml:space="preserve">у своїй звичайній діяльності не використовують їх </w:t>
      </w:r>
      <w:r w:rsidR="000D51BD" w:rsidRPr="00390161">
        <w:rPr>
          <w:noProof/>
        </w:rPr>
        <w:lastRenderedPageBreak/>
        <w:t>через відсутність такої потреби – вони не є дилерами чи іншими інвестиційними фірмами</w:t>
      </w:r>
      <w:r w:rsidR="000D51BD" w:rsidRPr="00390161">
        <w:rPr>
          <w:noProof/>
        </w:rPr>
        <w:t>, що працюють на міжнародних ринках</w:t>
      </w:r>
      <w:r w:rsidR="000D51BD" w:rsidRPr="00390161">
        <w:rPr>
          <w:noProof/>
        </w:rPr>
        <w:t xml:space="preserve">. Тому ця вимога штовхає КУА </w:t>
      </w:r>
      <w:r w:rsidR="000D51BD" w:rsidRPr="00390161">
        <w:rPr>
          <w:noProof/>
        </w:rPr>
        <w:t xml:space="preserve">та </w:t>
      </w:r>
      <w:r w:rsidR="000D51BD" w:rsidRPr="00390161">
        <w:rPr>
          <w:noProof/>
        </w:rPr>
        <w:t>АНПФ</w:t>
      </w:r>
      <w:r w:rsidR="000D51BD" w:rsidRPr="00390161">
        <w:rPr>
          <w:noProof/>
        </w:rPr>
        <w:t xml:space="preserve"> </w:t>
      </w:r>
      <w:r w:rsidR="000D51BD" w:rsidRPr="00390161">
        <w:rPr>
          <w:noProof/>
        </w:rPr>
        <w:t>на додаткові та невиправдані витрати.</w:t>
      </w:r>
    </w:p>
    <w:p w:rsidR="007A61DE" w:rsidRPr="00390161" w:rsidRDefault="007A61DE" w:rsidP="000D51BD">
      <w:pPr>
        <w:shd w:val="clear" w:color="auto" w:fill="FFFFFF"/>
        <w:spacing w:line="312" w:lineRule="auto"/>
        <w:ind w:left="284" w:right="282" w:firstLine="726"/>
        <w:jc w:val="both"/>
        <w:rPr>
          <w:noProof/>
        </w:rPr>
      </w:pPr>
      <w:r w:rsidRPr="00390161">
        <w:rPr>
          <w:noProof/>
        </w:rPr>
        <w:t xml:space="preserve">Враховуючи </w:t>
      </w:r>
      <w:r w:rsidRPr="00390161">
        <w:rPr>
          <w:noProof/>
        </w:rPr>
        <w:t xml:space="preserve">все вищезазначене, зокрема </w:t>
      </w:r>
      <w:r w:rsidR="004B020F" w:rsidRPr="00390161">
        <w:rPr>
          <w:noProof/>
        </w:rPr>
        <w:t xml:space="preserve">особливості </w:t>
      </w:r>
      <w:r w:rsidRPr="00390161">
        <w:rPr>
          <w:noProof/>
        </w:rPr>
        <w:t>вид</w:t>
      </w:r>
      <w:r w:rsidR="004B020F" w:rsidRPr="00390161">
        <w:rPr>
          <w:noProof/>
        </w:rPr>
        <w:t>ів</w:t>
      </w:r>
      <w:r w:rsidRPr="00390161">
        <w:rPr>
          <w:noProof/>
        </w:rPr>
        <w:t xml:space="preserve"> професійної діяльності КУА та АНПФ, просимо </w:t>
      </w:r>
      <w:r w:rsidRPr="00390161">
        <w:rPr>
          <w:noProof/>
        </w:rPr>
        <w:t xml:space="preserve">внести зміни до Рішення </w:t>
      </w:r>
      <w:r w:rsidRPr="00390161">
        <w:rPr>
          <w:noProof/>
        </w:rPr>
        <w:t>№1221</w:t>
      </w:r>
      <w:r w:rsidR="007D7367" w:rsidRPr="00390161">
        <w:rPr>
          <w:noProof/>
        </w:rPr>
        <w:t xml:space="preserve">, якими визначити, що </w:t>
      </w:r>
      <w:r w:rsidR="007D7367" w:rsidRPr="00390161">
        <w:rPr>
          <w:noProof/>
        </w:rPr>
        <w:t>КУА та АНПФ</w:t>
      </w:r>
      <w:r w:rsidR="007D7367" w:rsidRPr="00390161">
        <w:rPr>
          <w:noProof/>
        </w:rPr>
        <w:t xml:space="preserve"> </w:t>
      </w:r>
      <w:r w:rsidRPr="00390161">
        <w:rPr>
          <w:b/>
          <w:noProof/>
        </w:rPr>
        <w:t>не зобов'язані утримувати</w:t>
      </w:r>
      <w:r w:rsidR="007D7367" w:rsidRPr="00390161">
        <w:rPr>
          <w:noProof/>
        </w:rPr>
        <w:t xml:space="preserve"> </w:t>
      </w:r>
      <w:r w:rsidR="007D7367" w:rsidRPr="00390161">
        <w:rPr>
          <w:b/>
          <w:noProof/>
        </w:rPr>
        <w:t>належн</w:t>
      </w:r>
      <w:r w:rsidR="007D7367" w:rsidRPr="00390161">
        <w:rPr>
          <w:b/>
          <w:noProof/>
        </w:rPr>
        <w:t>і</w:t>
      </w:r>
      <w:r w:rsidR="007D7367" w:rsidRPr="00390161">
        <w:rPr>
          <w:b/>
          <w:noProof/>
        </w:rPr>
        <w:t xml:space="preserve"> їм</w:t>
      </w:r>
      <w:r w:rsidRPr="00390161">
        <w:rPr>
          <w:b/>
          <w:noProof/>
        </w:rPr>
        <w:t xml:space="preserve"> </w:t>
      </w:r>
      <w:r w:rsidR="007D7367" w:rsidRPr="00390161">
        <w:rPr>
          <w:b/>
          <w:noProof/>
        </w:rPr>
        <w:t>цінні папери</w:t>
      </w:r>
      <w:r w:rsidR="007D7367" w:rsidRPr="00390161">
        <w:rPr>
          <w:b/>
          <w:noProof/>
        </w:rPr>
        <w:t xml:space="preserve"> </w:t>
      </w:r>
      <w:r w:rsidR="00E50E06" w:rsidRPr="00390161">
        <w:rPr>
          <w:b/>
          <w:noProof/>
        </w:rPr>
        <w:t>тільки</w:t>
      </w:r>
      <w:r w:rsidRPr="00390161">
        <w:rPr>
          <w:b/>
          <w:noProof/>
        </w:rPr>
        <w:t xml:space="preserve"> для продажу</w:t>
      </w:r>
      <w:r w:rsidRPr="00390161">
        <w:rPr>
          <w:noProof/>
        </w:rPr>
        <w:t xml:space="preserve">, а також оцінювати вартість </w:t>
      </w:r>
      <w:r w:rsidR="007D7367" w:rsidRPr="00390161">
        <w:rPr>
          <w:noProof/>
        </w:rPr>
        <w:t>ОЗДП</w:t>
      </w:r>
      <w:r w:rsidR="007D7367" w:rsidRPr="00390161">
        <w:rPr>
          <w:noProof/>
        </w:rPr>
        <w:t xml:space="preserve"> із </w:t>
      </w:r>
      <w:r w:rsidRPr="00390161">
        <w:rPr>
          <w:noProof/>
        </w:rPr>
        <w:t>використанням зазначених у Рішенні №1296 ресурсів</w:t>
      </w:r>
      <w:r w:rsidR="007D7367" w:rsidRPr="00390161">
        <w:rPr>
          <w:noProof/>
        </w:rPr>
        <w:t>,</w:t>
      </w:r>
      <w:r w:rsidRPr="00390161">
        <w:rPr>
          <w:noProof/>
        </w:rPr>
        <w:t xml:space="preserve"> </w:t>
      </w:r>
      <w:r w:rsidR="008C164A" w:rsidRPr="00390161">
        <w:rPr>
          <w:noProof/>
        </w:rPr>
        <w:t>та можуть враховувати для розрахунку НЛА державні цінні папери, що утримуються ними до погашення.</w:t>
      </w:r>
    </w:p>
    <w:p w:rsidR="00224D88" w:rsidRPr="00390161" w:rsidRDefault="00224D88" w:rsidP="00224D88">
      <w:pPr>
        <w:shd w:val="clear" w:color="auto" w:fill="FFFFFF"/>
        <w:spacing w:line="312" w:lineRule="auto"/>
        <w:ind w:left="284" w:right="282" w:firstLine="726"/>
        <w:jc w:val="both"/>
        <w:rPr>
          <w:noProof/>
          <w:color w:val="222222"/>
        </w:rPr>
      </w:pPr>
      <w:r w:rsidRPr="00390161">
        <w:rPr>
          <w:noProof/>
        </w:rPr>
        <w:t xml:space="preserve">Відповідні пропозиції </w:t>
      </w:r>
      <w:r w:rsidRPr="00390161">
        <w:rPr>
          <w:noProof/>
          <w:color w:val="222222"/>
        </w:rPr>
        <w:t>надаємо</w:t>
      </w:r>
      <w:r w:rsidRPr="00390161">
        <w:rPr>
          <w:noProof/>
        </w:rPr>
        <w:t xml:space="preserve"> </w:t>
      </w:r>
      <w:r w:rsidRPr="00390161">
        <w:rPr>
          <w:noProof/>
          <w:color w:val="222222"/>
        </w:rPr>
        <w:t xml:space="preserve">у порівняльній таблиці у </w:t>
      </w:r>
      <w:r w:rsidRPr="00390161">
        <w:rPr>
          <w:b/>
          <w:noProof/>
          <w:color w:val="222222"/>
        </w:rPr>
        <w:t>Додатку</w:t>
      </w:r>
      <w:r w:rsidRPr="00390161">
        <w:rPr>
          <w:noProof/>
          <w:color w:val="222222"/>
        </w:rPr>
        <w:t xml:space="preserve"> до цього листа (на 1-му арк.).</w:t>
      </w:r>
    </w:p>
    <w:p w:rsidR="00FA3DAD" w:rsidRPr="00390161" w:rsidRDefault="00FA3DAD" w:rsidP="005D593F">
      <w:pPr>
        <w:ind w:left="284" w:right="282" w:firstLine="709"/>
        <w:jc w:val="both"/>
        <w:rPr>
          <w:noProof/>
        </w:rPr>
      </w:pPr>
    </w:p>
    <w:p w:rsidR="00224D88" w:rsidRPr="00390161" w:rsidRDefault="00224D88" w:rsidP="005D593F">
      <w:pPr>
        <w:ind w:left="284" w:right="282" w:firstLine="709"/>
        <w:jc w:val="both"/>
        <w:rPr>
          <w:noProof/>
        </w:rPr>
      </w:pPr>
    </w:p>
    <w:p w:rsidR="00387AA6" w:rsidRPr="00390161" w:rsidRDefault="00387AA6" w:rsidP="005D593F">
      <w:pPr>
        <w:ind w:left="284" w:right="282" w:firstLine="709"/>
        <w:jc w:val="both"/>
        <w:rPr>
          <w:bCs/>
          <w:noProof/>
        </w:rPr>
      </w:pPr>
      <w:r w:rsidRPr="00390161">
        <w:rPr>
          <w:bCs/>
          <w:noProof/>
        </w:rPr>
        <w:t>З повагою</w:t>
      </w:r>
    </w:p>
    <w:p w:rsidR="00387AA6" w:rsidRPr="00390161" w:rsidRDefault="00387AA6" w:rsidP="005D593F">
      <w:pPr>
        <w:ind w:left="284" w:right="282" w:firstLine="709"/>
        <w:jc w:val="both"/>
        <w:rPr>
          <w:bCs/>
          <w:noProof/>
        </w:rPr>
      </w:pPr>
    </w:p>
    <w:p w:rsidR="00224D88" w:rsidRPr="00390161" w:rsidRDefault="00224D88" w:rsidP="00224D88">
      <w:pPr>
        <w:shd w:val="clear" w:color="auto" w:fill="FFFFFF"/>
        <w:spacing w:line="312" w:lineRule="auto"/>
        <w:ind w:left="284" w:right="282" w:firstLine="726"/>
        <w:jc w:val="both"/>
        <w:rPr>
          <w:noProof/>
        </w:rPr>
      </w:pPr>
      <w:r w:rsidRPr="00390161">
        <w:rPr>
          <w:iCs/>
          <w:noProof/>
        </w:rPr>
        <w:t>Перший заступник Генерального директора</w:t>
      </w:r>
      <w:r w:rsidR="00387AA6" w:rsidRPr="00390161">
        <w:rPr>
          <w:noProof/>
        </w:rPr>
        <w:t xml:space="preserve">                          </w:t>
      </w:r>
      <w:r w:rsidRPr="00390161">
        <w:rPr>
          <w:noProof/>
        </w:rPr>
        <w:t xml:space="preserve">         О. О. Трипольська</w:t>
      </w:r>
    </w:p>
    <w:p w:rsidR="00224D88" w:rsidRPr="00390161" w:rsidRDefault="00224D88">
      <w:pPr>
        <w:rPr>
          <w:noProof/>
        </w:rPr>
      </w:pPr>
      <w:r w:rsidRPr="00390161">
        <w:rPr>
          <w:noProof/>
        </w:rPr>
        <w:br w:type="page"/>
      </w:r>
    </w:p>
    <w:p w:rsidR="00224D88" w:rsidRPr="00EC5C89" w:rsidRDefault="00224D88" w:rsidP="00224D88">
      <w:pPr>
        <w:ind w:firstLine="709"/>
        <w:jc w:val="right"/>
        <w:rPr>
          <w:noProof/>
        </w:rPr>
      </w:pPr>
      <w:r w:rsidRPr="00390161">
        <w:rPr>
          <w:noProof/>
        </w:rPr>
        <w:lastRenderedPageBreak/>
        <w:t>ДОДАТОК</w:t>
      </w:r>
    </w:p>
    <w:p w:rsidR="00224D88" w:rsidRPr="00EC5C89" w:rsidRDefault="00224D88" w:rsidP="00224D88">
      <w:pPr>
        <w:rPr>
          <w:noProof/>
        </w:rPr>
      </w:pPr>
    </w:p>
    <w:p w:rsidR="00224D88" w:rsidRPr="00EC5C89" w:rsidRDefault="00224D88" w:rsidP="00224D88">
      <w:pPr>
        <w:ind w:firstLine="709"/>
        <w:jc w:val="center"/>
        <w:rPr>
          <w:rStyle w:val="rvts9"/>
          <w:b/>
        </w:rPr>
      </w:pPr>
      <w:r w:rsidRPr="00EC5C89">
        <w:rPr>
          <w:b/>
          <w:noProof/>
        </w:rPr>
        <w:t>Порівняльна таблиця з пропозиціями УАІБ про внесення змін до Рішення НКЦПФР №1221 від 29.09.2022 р</w:t>
      </w:r>
      <w:r w:rsidRPr="009112C5">
        <w:rPr>
          <w:b/>
          <w:noProof/>
        </w:rPr>
        <w:t xml:space="preserve">. </w:t>
      </w:r>
      <w:r w:rsidRPr="009112C5">
        <w:rPr>
          <w:rStyle w:val="rvts9"/>
          <w:b/>
        </w:rPr>
        <w:t>(з</w:t>
      </w:r>
      <w:r>
        <w:rPr>
          <w:rStyle w:val="rvts9"/>
          <w:b/>
        </w:rPr>
        <w:t>і змінами</w:t>
      </w:r>
      <w:r>
        <w:rPr>
          <w:rStyle w:val="rvts9"/>
          <w:b/>
        </w:rPr>
        <w:t xml:space="preserve"> згідно з Рішенням №1296 від 17.11.2023</w:t>
      </w:r>
      <w:r w:rsidRPr="009112C5">
        <w:rPr>
          <w:rStyle w:val="rvts9"/>
          <w:b/>
        </w:rPr>
        <w:t>)</w:t>
      </w:r>
    </w:p>
    <w:p w:rsidR="00224D88" w:rsidRPr="00EC5C89" w:rsidRDefault="00224D88" w:rsidP="00224D88">
      <w:pPr>
        <w:ind w:firstLine="709"/>
        <w:jc w:val="center"/>
        <w:rPr>
          <w:rStyle w:val="rvts9"/>
          <w:b/>
        </w:rPr>
      </w:pPr>
    </w:p>
    <w:tbl>
      <w:tblPr>
        <w:tblStyle w:val="ae"/>
        <w:tblW w:w="10343" w:type="dxa"/>
        <w:tblLook w:val="04A0" w:firstRow="1" w:lastRow="0" w:firstColumn="1" w:lastColumn="0" w:noHBand="0" w:noVBand="1"/>
      </w:tblPr>
      <w:tblGrid>
        <w:gridCol w:w="1752"/>
        <w:gridCol w:w="4297"/>
        <w:gridCol w:w="4294"/>
      </w:tblGrid>
      <w:tr w:rsidR="00224D88" w:rsidRPr="00EC5C89" w:rsidTr="00224D88">
        <w:tc>
          <w:tcPr>
            <w:tcW w:w="1752" w:type="dxa"/>
          </w:tcPr>
          <w:p w:rsidR="00224D88" w:rsidRPr="00224D88" w:rsidRDefault="00224D88" w:rsidP="0030375E">
            <w:pPr>
              <w:jc w:val="center"/>
              <w:rPr>
                <w:b/>
                <w:noProof/>
              </w:rPr>
            </w:pPr>
            <w:r w:rsidRPr="00224D88">
              <w:rPr>
                <w:b/>
                <w:noProof/>
              </w:rPr>
              <w:t>Пункт Рішення</w:t>
            </w:r>
          </w:p>
        </w:tc>
        <w:tc>
          <w:tcPr>
            <w:tcW w:w="4297" w:type="dxa"/>
          </w:tcPr>
          <w:p w:rsidR="00224D88" w:rsidRPr="00224D88" w:rsidRDefault="00224D88" w:rsidP="0030375E">
            <w:pPr>
              <w:jc w:val="center"/>
              <w:rPr>
                <w:b/>
                <w:noProof/>
              </w:rPr>
            </w:pPr>
            <w:r w:rsidRPr="00224D88">
              <w:rPr>
                <w:b/>
                <w:noProof/>
              </w:rPr>
              <w:t>Чинна редакція Рішення НКЦПФР №1221</w:t>
            </w:r>
            <w:r w:rsidRPr="00224D88">
              <w:rPr>
                <w:b/>
                <w:noProof/>
              </w:rPr>
              <w:t xml:space="preserve"> </w:t>
            </w:r>
            <w:r w:rsidRPr="00224D88">
              <w:rPr>
                <w:rStyle w:val="rvts9"/>
                <w:b/>
              </w:rPr>
              <w:t>(зі змінами згідно з Рішенням №1296 від 17.11.2023)</w:t>
            </w:r>
          </w:p>
        </w:tc>
        <w:tc>
          <w:tcPr>
            <w:tcW w:w="4294" w:type="dxa"/>
          </w:tcPr>
          <w:p w:rsidR="00224D88" w:rsidRPr="00224D88" w:rsidRDefault="00224D88" w:rsidP="0030375E">
            <w:pPr>
              <w:jc w:val="center"/>
              <w:rPr>
                <w:b/>
                <w:noProof/>
              </w:rPr>
            </w:pPr>
            <w:r w:rsidRPr="00224D88">
              <w:rPr>
                <w:b/>
                <w:noProof/>
              </w:rPr>
              <w:t>Запропонована УАІБ редакція</w:t>
            </w:r>
          </w:p>
        </w:tc>
      </w:tr>
      <w:tr w:rsidR="00224D88" w:rsidRPr="00D33DD9" w:rsidTr="00224D88">
        <w:tc>
          <w:tcPr>
            <w:tcW w:w="1752" w:type="dxa"/>
          </w:tcPr>
          <w:p w:rsidR="00224D88" w:rsidRPr="00224D88" w:rsidRDefault="00224D88" w:rsidP="00224D88">
            <w:pPr>
              <w:jc w:val="center"/>
              <w:rPr>
                <w:b/>
                <w:noProof/>
              </w:rPr>
            </w:pPr>
            <w:r w:rsidRPr="00224D88">
              <w:rPr>
                <w:b/>
                <w:noProof/>
              </w:rPr>
              <w:t>Пункт</w:t>
            </w:r>
            <w:r>
              <w:rPr>
                <w:b/>
                <w:noProof/>
              </w:rPr>
              <w:t xml:space="preserve"> 2, </w:t>
            </w:r>
            <w:r w:rsidRPr="00224D88">
              <w:rPr>
                <w:b/>
                <w:noProof/>
              </w:rPr>
              <w:t xml:space="preserve">абзац </w:t>
            </w:r>
            <w:r w:rsidRPr="00224D88">
              <w:rPr>
                <w:b/>
                <w:noProof/>
              </w:rPr>
              <w:t>шіст</w:t>
            </w:r>
            <w:r w:rsidRPr="00224D88">
              <w:rPr>
                <w:b/>
                <w:noProof/>
              </w:rPr>
              <w:t>надцятий</w:t>
            </w:r>
          </w:p>
        </w:tc>
        <w:tc>
          <w:tcPr>
            <w:tcW w:w="4297" w:type="dxa"/>
          </w:tcPr>
          <w:p w:rsidR="00224D88" w:rsidRDefault="00224D88" w:rsidP="00224D88">
            <w:pPr>
              <w:rPr>
                <w:noProof/>
              </w:rPr>
            </w:pPr>
            <w:bookmarkStart w:id="0" w:name="n40"/>
            <w:bookmarkStart w:id="1" w:name="n41"/>
            <w:bookmarkStart w:id="2" w:name="n14"/>
            <w:bookmarkEnd w:id="0"/>
            <w:bookmarkEnd w:id="1"/>
            <w:bookmarkEnd w:id="2"/>
            <w:r w:rsidRPr="00224D88">
              <w:rPr>
                <w:noProof/>
              </w:rPr>
              <w:t>для розрахунку нормативу ліквідності активів використовуються цінні папери, які професійний учасник ринків капіталу та організованих товарних ринків утримує для продажу,  що складають його торговий портфель. Оцінка цінних паперів торгового портфелю, що використовуються для розрахунку нормативу ліквідності активів, здійснюється за справедливою вартістю відповідно до вимог міжнародних стандартів фінансової звітності. Цінні папери, які професійний учасник ринків капіталу та організованих товарних ринків утримує до погашення, що відповідно до вимог міжнародних стандартів фінансової звітності оцінюються за амортизованою собівартістю, для розрахунку нормативу ліквідності активів не використовуються;</w:t>
            </w:r>
          </w:p>
          <w:p w:rsidR="00224D88" w:rsidRPr="00224D88" w:rsidRDefault="00224D88" w:rsidP="00224D88">
            <w:pPr>
              <w:rPr>
                <w:noProof/>
              </w:rPr>
            </w:pPr>
          </w:p>
        </w:tc>
        <w:tc>
          <w:tcPr>
            <w:tcW w:w="4294" w:type="dxa"/>
          </w:tcPr>
          <w:p w:rsidR="005A4588" w:rsidRDefault="00224D88" w:rsidP="00224D88">
            <w:pPr>
              <w:rPr>
                <w:noProof/>
              </w:rPr>
            </w:pPr>
            <w:r w:rsidRPr="00224D88">
              <w:rPr>
                <w:noProof/>
              </w:rPr>
              <w:t>для розрахунку нормативу ліквідності активів використовуються цінні папери, які професійний учасник ринків капіталу</w:t>
            </w:r>
            <w:r>
              <w:rPr>
                <w:noProof/>
              </w:rPr>
              <w:t xml:space="preserve"> </w:t>
            </w:r>
            <w:r w:rsidRPr="00224D88">
              <w:rPr>
                <w:noProof/>
              </w:rPr>
              <w:t xml:space="preserve">та організованих товарних ринків утримує для продажу,  що складають його торговий портфель. Оцінка цінних паперів торгового портфелю, що використовуються для розрахунку нормативу ліквідності активів, здійснюється за справедливою вартістю відповідно до вимог міжнародних стандартів фінансової звітності. </w:t>
            </w:r>
          </w:p>
          <w:p w:rsidR="00224D88" w:rsidRDefault="00224D88" w:rsidP="00224D88">
            <w:pPr>
              <w:rPr>
                <w:noProof/>
              </w:rPr>
            </w:pPr>
            <w:r w:rsidRPr="00224D88">
              <w:rPr>
                <w:noProof/>
              </w:rPr>
              <w:t>Цінні папери, які професійний учасник ринків капіталу та організованих товарних ринків утримує до погашення, що відповідно до вимог міжнародних стандартів фінансової звітності оцінюються за амортизованою собівартістю, для розрахунку нормативу ліквідності активів не використовуються</w:t>
            </w:r>
            <w:r w:rsidR="005A4588">
              <w:rPr>
                <w:noProof/>
              </w:rPr>
              <w:t xml:space="preserve"> </w:t>
            </w:r>
            <w:r w:rsidR="005A4588" w:rsidRPr="00224D88">
              <w:rPr>
                <w:b/>
                <w:noProof/>
              </w:rPr>
              <w:t>(крім компаній з управління активами та адміністраторів недержавних пенсійних фондів)</w:t>
            </w:r>
            <w:r w:rsidRPr="00224D88">
              <w:rPr>
                <w:noProof/>
              </w:rPr>
              <w:t>;</w:t>
            </w:r>
          </w:p>
          <w:p w:rsidR="00224D88" w:rsidRPr="005A4588" w:rsidRDefault="00224D88" w:rsidP="005A4588">
            <w:pPr>
              <w:rPr>
                <w:b/>
                <w:noProof/>
              </w:rPr>
            </w:pPr>
            <w:bookmarkStart w:id="3" w:name="_GoBack"/>
            <w:bookmarkEnd w:id="3"/>
          </w:p>
        </w:tc>
      </w:tr>
    </w:tbl>
    <w:p w:rsidR="00AB69E3" w:rsidRPr="00224D88" w:rsidRDefault="00AB69E3" w:rsidP="00224D88">
      <w:pPr>
        <w:shd w:val="clear" w:color="auto" w:fill="FFFFFF"/>
        <w:spacing w:line="312" w:lineRule="auto"/>
        <w:ind w:left="284" w:right="282" w:firstLine="726"/>
        <w:jc w:val="both"/>
        <w:rPr>
          <w:noProof/>
        </w:rPr>
      </w:pPr>
    </w:p>
    <w:sectPr w:rsidR="00AB69E3" w:rsidRPr="00224D88" w:rsidSect="005D593F">
      <w:footerReference w:type="default" r:id="rId9"/>
      <w:pgSz w:w="11906" w:h="16838"/>
      <w:pgMar w:top="709" w:right="850" w:bottom="1135" w:left="851" w:header="708" w:footer="2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942" w:rsidRDefault="00795942" w:rsidP="00387AA6">
      <w:r>
        <w:separator/>
      </w:r>
    </w:p>
  </w:endnote>
  <w:endnote w:type="continuationSeparator" w:id="0">
    <w:p w:rsidR="00795942" w:rsidRDefault="00795942" w:rsidP="0038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A6" w:rsidRPr="00AC602E" w:rsidRDefault="00387AA6">
    <w:pPr>
      <w:pStyle w:val="a6"/>
      <w:jc w:val="center"/>
      <w:rPr>
        <w:lang w:val="en-US"/>
      </w:rPr>
    </w:pPr>
    <w:r>
      <w:fldChar w:fldCharType="begin"/>
    </w:r>
    <w:r>
      <w:instrText>PAGE   \* MERGEFORMAT</w:instrText>
    </w:r>
    <w:r>
      <w:fldChar w:fldCharType="separate"/>
    </w:r>
    <w:r w:rsidR="005A4588">
      <w:rPr>
        <w:noProof/>
      </w:rPr>
      <w:t>3</w:t>
    </w:r>
    <w:r>
      <w:fldChar w:fldCharType="end"/>
    </w:r>
  </w:p>
  <w:p w:rsidR="00387AA6" w:rsidRDefault="00387A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942" w:rsidRDefault="00795942" w:rsidP="00387AA6">
      <w:r>
        <w:separator/>
      </w:r>
    </w:p>
  </w:footnote>
  <w:footnote w:type="continuationSeparator" w:id="0">
    <w:p w:rsidR="00795942" w:rsidRDefault="00795942" w:rsidP="00387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C122D"/>
    <w:multiLevelType w:val="hybridMultilevel"/>
    <w:tmpl w:val="8256B6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D077EBC"/>
    <w:multiLevelType w:val="hybridMultilevel"/>
    <w:tmpl w:val="8256B6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13F4915"/>
    <w:multiLevelType w:val="hybridMultilevel"/>
    <w:tmpl w:val="BCF8F1B8"/>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 w15:restartNumberingAfterBreak="0">
    <w:nsid w:val="55805CAE"/>
    <w:multiLevelType w:val="hybridMultilevel"/>
    <w:tmpl w:val="8256B6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8631886"/>
    <w:multiLevelType w:val="hybridMultilevel"/>
    <w:tmpl w:val="3BDAA23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A6"/>
    <w:rsid w:val="00004BA0"/>
    <w:rsid w:val="00004C6F"/>
    <w:rsid w:val="00006C33"/>
    <w:rsid w:val="000140A0"/>
    <w:rsid w:val="00025759"/>
    <w:rsid w:val="000404E7"/>
    <w:rsid w:val="00042925"/>
    <w:rsid w:val="00053CF3"/>
    <w:rsid w:val="000577F4"/>
    <w:rsid w:val="000737CA"/>
    <w:rsid w:val="00084690"/>
    <w:rsid w:val="0008700D"/>
    <w:rsid w:val="00092DD2"/>
    <w:rsid w:val="0009481F"/>
    <w:rsid w:val="000B471B"/>
    <w:rsid w:val="000C2B9D"/>
    <w:rsid w:val="000C550B"/>
    <w:rsid w:val="000C677F"/>
    <w:rsid w:val="000D0A92"/>
    <w:rsid w:val="000D4CE6"/>
    <w:rsid w:val="000D51BD"/>
    <w:rsid w:val="000E45AC"/>
    <w:rsid w:val="000E77F1"/>
    <w:rsid w:val="000F7F74"/>
    <w:rsid w:val="0010521F"/>
    <w:rsid w:val="00107C2A"/>
    <w:rsid w:val="00111C9C"/>
    <w:rsid w:val="00115194"/>
    <w:rsid w:val="00115D9D"/>
    <w:rsid w:val="00116F65"/>
    <w:rsid w:val="00122808"/>
    <w:rsid w:val="001236E4"/>
    <w:rsid w:val="00126502"/>
    <w:rsid w:val="001312AA"/>
    <w:rsid w:val="00135946"/>
    <w:rsid w:val="001505BA"/>
    <w:rsid w:val="0015095B"/>
    <w:rsid w:val="0015360D"/>
    <w:rsid w:val="0015517F"/>
    <w:rsid w:val="0015539B"/>
    <w:rsid w:val="00163DCE"/>
    <w:rsid w:val="00173402"/>
    <w:rsid w:val="00177109"/>
    <w:rsid w:val="001807E2"/>
    <w:rsid w:val="00196FC4"/>
    <w:rsid w:val="0019709B"/>
    <w:rsid w:val="001A03D5"/>
    <w:rsid w:val="001A0C0A"/>
    <w:rsid w:val="001A5FF6"/>
    <w:rsid w:val="001B4DE0"/>
    <w:rsid w:val="001C1F4F"/>
    <w:rsid w:val="001D1A23"/>
    <w:rsid w:val="001D2ADA"/>
    <w:rsid w:val="001F13C8"/>
    <w:rsid w:val="001F23BE"/>
    <w:rsid w:val="001F7E34"/>
    <w:rsid w:val="00204A4B"/>
    <w:rsid w:val="00216132"/>
    <w:rsid w:val="00221F46"/>
    <w:rsid w:val="00224D88"/>
    <w:rsid w:val="00225927"/>
    <w:rsid w:val="002278E5"/>
    <w:rsid w:val="00230113"/>
    <w:rsid w:val="00232482"/>
    <w:rsid w:val="002367B6"/>
    <w:rsid w:val="00246BDC"/>
    <w:rsid w:val="00247F5B"/>
    <w:rsid w:val="00254853"/>
    <w:rsid w:val="00261616"/>
    <w:rsid w:val="00270CDD"/>
    <w:rsid w:val="0027402A"/>
    <w:rsid w:val="00293115"/>
    <w:rsid w:val="002A50D1"/>
    <w:rsid w:val="002B7E38"/>
    <w:rsid w:val="002C050B"/>
    <w:rsid w:val="002D1731"/>
    <w:rsid w:val="002D48AC"/>
    <w:rsid w:val="002D54B2"/>
    <w:rsid w:val="002E29F4"/>
    <w:rsid w:val="002E4A0C"/>
    <w:rsid w:val="002F20A8"/>
    <w:rsid w:val="002F6E84"/>
    <w:rsid w:val="0031141A"/>
    <w:rsid w:val="0031735E"/>
    <w:rsid w:val="00330455"/>
    <w:rsid w:val="003309F2"/>
    <w:rsid w:val="0033794D"/>
    <w:rsid w:val="0035158D"/>
    <w:rsid w:val="003516D3"/>
    <w:rsid w:val="00356AE6"/>
    <w:rsid w:val="003575F6"/>
    <w:rsid w:val="00370174"/>
    <w:rsid w:val="00374137"/>
    <w:rsid w:val="00381B14"/>
    <w:rsid w:val="00382314"/>
    <w:rsid w:val="00387AA6"/>
    <w:rsid w:val="00390161"/>
    <w:rsid w:val="003966FD"/>
    <w:rsid w:val="003969B3"/>
    <w:rsid w:val="003A6B51"/>
    <w:rsid w:val="003B54E6"/>
    <w:rsid w:val="003C49B0"/>
    <w:rsid w:val="003C6944"/>
    <w:rsid w:val="003C6EAC"/>
    <w:rsid w:val="003C7D05"/>
    <w:rsid w:val="003D3576"/>
    <w:rsid w:val="003D3783"/>
    <w:rsid w:val="003D553A"/>
    <w:rsid w:val="003E125C"/>
    <w:rsid w:val="003E1B56"/>
    <w:rsid w:val="003E6444"/>
    <w:rsid w:val="00402C19"/>
    <w:rsid w:val="004151E8"/>
    <w:rsid w:val="004340FF"/>
    <w:rsid w:val="00446575"/>
    <w:rsid w:val="00453170"/>
    <w:rsid w:val="0045594F"/>
    <w:rsid w:val="00457671"/>
    <w:rsid w:val="004653D3"/>
    <w:rsid w:val="0047311F"/>
    <w:rsid w:val="00474BFA"/>
    <w:rsid w:val="004771F4"/>
    <w:rsid w:val="00480BB0"/>
    <w:rsid w:val="00483E98"/>
    <w:rsid w:val="00490BC3"/>
    <w:rsid w:val="00491871"/>
    <w:rsid w:val="004A04A1"/>
    <w:rsid w:val="004A288E"/>
    <w:rsid w:val="004B020F"/>
    <w:rsid w:val="004C1D48"/>
    <w:rsid w:val="004D4785"/>
    <w:rsid w:val="004E2693"/>
    <w:rsid w:val="004E2C21"/>
    <w:rsid w:val="004F1C15"/>
    <w:rsid w:val="0050674E"/>
    <w:rsid w:val="00521F47"/>
    <w:rsid w:val="005224E9"/>
    <w:rsid w:val="0052256B"/>
    <w:rsid w:val="00544A4E"/>
    <w:rsid w:val="00544FF2"/>
    <w:rsid w:val="00560D43"/>
    <w:rsid w:val="00564CA0"/>
    <w:rsid w:val="00572519"/>
    <w:rsid w:val="00572BD8"/>
    <w:rsid w:val="00574176"/>
    <w:rsid w:val="00577BED"/>
    <w:rsid w:val="005974B1"/>
    <w:rsid w:val="005A150C"/>
    <w:rsid w:val="005A4588"/>
    <w:rsid w:val="005B105D"/>
    <w:rsid w:val="005D593F"/>
    <w:rsid w:val="005E0084"/>
    <w:rsid w:val="005E0D66"/>
    <w:rsid w:val="005E1B41"/>
    <w:rsid w:val="005E2206"/>
    <w:rsid w:val="005E3D17"/>
    <w:rsid w:val="005E4F29"/>
    <w:rsid w:val="005E667E"/>
    <w:rsid w:val="005E66E4"/>
    <w:rsid w:val="005F11CD"/>
    <w:rsid w:val="006001A6"/>
    <w:rsid w:val="00603FF4"/>
    <w:rsid w:val="00604997"/>
    <w:rsid w:val="00612098"/>
    <w:rsid w:val="006141ED"/>
    <w:rsid w:val="00642AE7"/>
    <w:rsid w:val="00673DEF"/>
    <w:rsid w:val="006864EF"/>
    <w:rsid w:val="006916FD"/>
    <w:rsid w:val="00692547"/>
    <w:rsid w:val="006961F5"/>
    <w:rsid w:val="00696590"/>
    <w:rsid w:val="006A0B89"/>
    <w:rsid w:val="006A7AE4"/>
    <w:rsid w:val="006C189A"/>
    <w:rsid w:val="006C3F2B"/>
    <w:rsid w:val="006D0B6F"/>
    <w:rsid w:val="006D5F70"/>
    <w:rsid w:val="006E21D2"/>
    <w:rsid w:val="006E3EE8"/>
    <w:rsid w:val="006F0242"/>
    <w:rsid w:val="007050FE"/>
    <w:rsid w:val="007104A6"/>
    <w:rsid w:val="00715D91"/>
    <w:rsid w:val="00716966"/>
    <w:rsid w:val="00717AEF"/>
    <w:rsid w:val="00722C8B"/>
    <w:rsid w:val="00727A42"/>
    <w:rsid w:val="00734191"/>
    <w:rsid w:val="00740F25"/>
    <w:rsid w:val="00750902"/>
    <w:rsid w:val="00751790"/>
    <w:rsid w:val="0076066F"/>
    <w:rsid w:val="00761620"/>
    <w:rsid w:val="00764640"/>
    <w:rsid w:val="007668F9"/>
    <w:rsid w:val="00770AFF"/>
    <w:rsid w:val="00771907"/>
    <w:rsid w:val="00773AD0"/>
    <w:rsid w:val="00786C18"/>
    <w:rsid w:val="00786E87"/>
    <w:rsid w:val="00792ADD"/>
    <w:rsid w:val="00794119"/>
    <w:rsid w:val="00795942"/>
    <w:rsid w:val="007963B7"/>
    <w:rsid w:val="007964ED"/>
    <w:rsid w:val="007A18AA"/>
    <w:rsid w:val="007A61DE"/>
    <w:rsid w:val="007A6A67"/>
    <w:rsid w:val="007B1F05"/>
    <w:rsid w:val="007C1663"/>
    <w:rsid w:val="007C3B5A"/>
    <w:rsid w:val="007C42A1"/>
    <w:rsid w:val="007C5616"/>
    <w:rsid w:val="007D724B"/>
    <w:rsid w:val="007D7367"/>
    <w:rsid w:val="007E1AF7"/>
    <w:rsid w:val="007E7F2D"/>
    <w:rsid w:val="007F0C35"/>
    <w:rsid w:val="007F568A"/>
    <w:rsid w:val="007F5B7F"/>
    <w:rsid w:val="007F7504"/>
    <w:rsid w:val="008020C0"/>
    <w:rsid w:val="00807B4C"/>
    <w:rsid w:val="00817BE4"/>
    <w:rsid w:val="0082326D"/>
    <w:rsid w:val="00823D25"/>
    <w:rsid w:val="0082717E"/>
    <w:rsid w:val="0083017B"/>
    <w:rsid w:val="00830DA9"/>
    <w:rsid w:val="00836DBB"/>
    <w:rsid w:val="00843AFB"/>
    <w:rsid w:val="008507A0"/>
    <w:rsid w:val="00850B5F"/>
    <w:rsid w:val="00851E1D"/>
    <w:rsid w:val="00852137"/>
    <w:rsid w:val="0085249F"/>
    <w:rsid w:val="00875077"/>
    <w:rsid w:val="0088052F"/>
    <w:rsid w:val="00882862"/>
    <w:rsid w:val="00884081"/>
    <w:rsid w:val="00886AEE"/>
    <w:rsid w:val="00892B24"/>
    <w:rsid w:val="008952EB"/>
    <w:rsid w:val="0089610F"/>
    <w:rsid w:val="00896E60"/>
    <w:rsid w:val="008A6CE5"/>
    <w:rsid w:val="008A7588"/>
    <w:rsid w:val="008B30B8"/>
    <w:rsid w:val="008B4480"/>
    <w:rsid w:val="008B73FA"/>
    <w:rsid w:val="008C04CA"/>
    <w:rsid w:val="008C164A"/>
    <w:rsid w:val="008C53F0"/>
    <w:rsid w:val="008C6A36"/>
    <w:rsid w:val="008C7B27"/>
    <w:rsid w:val="008D01AB"/>
    <w:rsid w:val="008E2152"/>
    <w:rsid w:val="008F0652"/>
    <w:rsid w:val="008F5A03"/>
    <w:rsid w:val="00901E74"/>
    <w:rsid w:val="00906009"/>
    <w:rsid w:val="009112C5"/>
    <w:rsid w:val="00914BCD"/>
    <w:rsid w:val="0091572B"/>
    <w:rsid w:val="00934353"/>
    <w:rsid w:val="00946CF6"/>
    <w:rsid w:val="00962854"/>
    <w:rsid w:val="009629D2"/>
    <w:rsid w:val="0096547A"/>
    <w:rsid w:val="00981AD7"/>
    <w:rsid w:val="00982739"/>
    <w:rsid w:val="009834B1"/>
    <w:rsid w:val="009A3269"/>
    <w:rsid w:val="009A747C"/>
    <w:rsid w:val="009B0413"/>
    <w:rsid w:val="009B43E0"/>
    <w:rsid w:val="009C2395"/>
    <w:rsid w:val="009C2923"/>
    <w:rsid w:val="009C3C50"/>
    <w:rsid w:val="009E0D4A"/>
    <w:rsid w:val="009E5931"/>
    <w:rsid w:val="009E63E3"/>
    <w:rsid w:val="009F36D9"/>
    <w:rsid w:val="009F6FE2"/>
    <w:rsid w:val="00A001BE"/>
    <w:rsid w:val="00A05D87"/>
    <w:rsid w:val="00A0764D"/>
    <w:rsid w:val="00A15BA5"/>
    <w:rsid w:val="00A172F9"/>
    <w:rsid w:val="00A2186F"/>
    <w:rsid w:val="00A34C96"/>
    <w:rsid w:val="00A40753"/>
    <w:rsid w:val="00A52E6A"/>
    <w:rsid w:val="00A63E5A"/>
    <w:rsid w:val="00A764DB"/>
    <w:rsid w:val="00A83AE9"/>
    <w:rsid w:val="00A94B49"/>
    <w:rsid w:val="00A960C5"/>
    <w:rsid w:val="00AA0EF1"/>
    <w:rsid w:val="00AB06CB"/>
    <w:rsid w:val="00AB69E3"/>
    <w:rsid w:val="00AC26F7"/>
    <w:rsid w:val="00AC602E"/>
    <w:rsid w:val="00AE13F5"/>
    <w:rsid w:val="00AE56D5"/>
    <w:rsid w:val="00AF3FC4"/>
    <w:rsid w:val="00B13B88"/>
    <w:rsid w:val="00B218E7"/>
    <w:rsid w:val="00B259FD"/>
    <w:rsid w:val="00B31F4B"/>
    <w:rsid w:val="00B362BE"/>
    <w:rsid w:val="00B4355C"/>
    <w:rsid w:val="00B5153F"/>
    <w:rsid w:val="00B53D55"/>
    <w:rsid w:val="00B6034C"/>
    <w:rsid w:val="00B76FAC"/>
    <w:rsid w:val="00B82C37"/>
    <w:rsid w:val="00BA028A"/>
    <w:rsid w:val="00BB4C3F"/>
    <w:rsid w:val="00BC27C6"/>
    <w:rsid w:val="00BC3391"/>
    <w:rsid w:val="00BE04AE"/>
    <w:rsid w:val="00BE17AC"/>
    <w:rsid w:val="00BE23FA"/>
    <w:rsid w:val="00BE7418"/>
    <w:rsid w:val="00BF5486"/>
    <w:rsid w:val="00C019EB"/>
    <w:rsid w:val="00C055C2"/>
    <w:rsid w:val="00C05691"/>
    <w:rsid w:val="00C061FB"/>
    <w:rsid w:val="00C0773B"/>
    <w:rsid w:val="00C1627C"/>
    <w:rsid w:val="00C27D0B"/>
    <w:rsid w:val="00C367F3"/>
    <w:rsid w:val="00C432CB"/>
    <w:rsid w:val="00C43CCF"/>
    <w:rsid w:val="00C662FD"/>
    <w:rsid w:val="00C67114"/>
    <w:rsid w:val="00C844DD"/>
    <w:rsid w:val="00C84EEB"/>
    <w:rsid w:val="00C86053"/>
    <w:rsid w:val="00C87DE5"/>
    <w:rsid w:val="00C909CD"/>
    <w:rsid w:val="00C9652A"/>
    <w:rsid w:val="00CA3A9C"/>
    <w:rsid w:val="00CA3C0A"/>
    <w:rsid w:val="00CB2614"/>
    <w:rsid w:val="00CC0A85"/>
    <w:rsid w:val="00CE17E2"/>
    <w:rsid w:val="00CE3278"/>
    <w:rsid w:val="00CE6A60"/>
    <w:rsid w:val="00CF232C"/>
    <w:rsid w:val="00CF29BC"/>
    <w:rsid w:val="00CF57FF"/>
    <w:rsid w:val="00D00D2D"/>
    <w:rsid w:val="00D2036B"/>
    <w:rsid w:val="00D24C26"/>
    <w:rsid w:val="00D2581E"/>
    <w:rsid w:val="00D33DD9"/>
    <w:rsid w:val="00D4060C"/>
    <w:rsid w:val="00D53751"/>
    <w:rsid w:val="00D54B20"/>
    <w:rsid w:val="00D61782"/>
    <w:rsid w:val="00D625B8"/>
    <w:rsid w:val="00D71D2E"/>
    <w:rsid w:val="00D759F5"/>
    <w:rsid w:val="00D832F4"/>
    <w:rsid w:val="00D84706"/>
    <w:rsid w:val="00D84D9E"/>
    <w:rsid w:val="00D90F2B"/>
    <w:rsid w:val="00D9424B"/>
    <w:rsid w:val="00D95803"/>
    <w:rsid w:val="00DA537C"/>
    <w:rsid w:val="00DB3F53"/>
    <w:rsid w:val="00DB557B"/>
    <w:rsid w:val="00DB6FB1"/>
    <w:rsid w:val="00DB7934"/>
    <w:rsid w:val="00DC2D48"/>
    <w:rsid w:val="00DC4378"/>
    <w:rsid w:val="00DC5BCE"/>
    <w:rsid w:val="00DD26DD"/>
    <w:rsid w:val="00DE4F88"/>
    <w:rsid w:val="00DF7CB2"/>
    <w:rsid w:val="00E00867"/>
    <w:rsid w:val="00E01F0D"/>
    <w:rsid w:val="00E06B49"/>
    <w:rsid w:val="00E27B3D"/>
    <w:rsid w:val="00E3489B"/>
    <w:rsid w:val="00E35CDB"/>
    <w:rsid w:val="00E44AE9"/>
    <w:rsid w:val="00E47B5F"/>
    <w:rsid w:val="00E50E06"/>
    <w:rsid w:val="00E520B0"/>
    <w:rsid w:val="00E607D4"/>
    <w:rsid w:val="00E80613"/>
    <w:rsid w:val="00E85703"/>
    <w:rsid w:val="00E8647E"/>
    <w:rsid w:val="00E91E53"/>
    <w:rsid w:val="00EA0309"/>
    <w:rsid w:val="00EA08DD"/>
    <w:rsid w:val="00EA3197"/>
    <w:rsid w:val="00EA38E9"/>
    <w:rsid w:val="00EA55D6"/>
    <w:rsid w:val="00EB24DD"/>
    <w:rsid w:val="00EB6CF3"/>
    <w:rsid w:val="00EC5C89"/>
    <w:rsid w:val="00EC5DEB"/>
    <w:rsid w:val="00ED4A5D"/>
    <w:rsid w:val="00ED7A3C"/>
    <w:rsid w:val="00EE4FB2"/>
    <w:rsid w:val="00EE6540"/>
    <w:rsid w:val="00EE752C"/>
    <w:rsid w:val="00EF4618"/>
    <w:rsid w:val="00F02E0E"/>
    <w:rsid w:val="00F11C73"/>
    <w:rsid w:val="00F17218"/>
    <w:rsid w:val="00F34FBA"/>
    <w:rsid w:val="00F41243"/>
    <w:rsid w:val="00F418D1"/>
    <w:rsid w:val="00F4426A"/>
    <w:rsid w:val="00F523B1"/>
    <w:rsid w:val="00F70339"/>
    <w:rsid w:val="00F75909"/>
    <w:rsid w:val="00F808F4"/>
    <w:rsid w:val="00F82A2F"/>
    <w:rsid w:val="00F84E25"/>
    <w:rsid w:val="00F96641"/>
    <w:rsid w:val="00FA3DAD"/>
    <w:rsid w:val="00FA78BC"/>
    <w:rsid w:val="00FB14AC"/>
    <w:rsid w:val="00FC4DC0"/>
    <w:rsid w:val="00FC68C5"/>
    <w:rsid w:val="00FD64E0"/>
    <w:rsid w:val="00FE3439"/>
    <w:rsid w:val="00FE3C2B"/>
    <w:rsid w:val="00FE6A2B"/>
    <w:rsid w:val="00FF199F"/>
    <w:rsid w:val="00FF2A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595AEC-895D-4CA6-9B7D-B5F5A763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C5"/>
    <w:rPr>
      <w:rFonts w:ascii="Times New Roman" w:eastAsia="Times New Roman" w:hAnsi="Times New Roman"/>
      <w:sz w:val="24"/>
      <w:szCs w:val="24"/>
    </w:rPr>
  </w:style>
  <w:style w:type="paragraph" w:styleId="1">
    <w:name w:val="heading 1"/>
    <w:basedOn w:val="a"/>
    <w:next w:val="a"/>
    <w:link w:val="10"/>
    <w:qFormat/>
    <w:rsid w:val="00387AA6"/>
    <w:pPr>
      <w:keepNext/>
      <w:outlineLvl w:val="0"/>
    </w:pPr>
    <w:rPr>
      <w:b/>
      <w:sz w:val="18"/>
      <w:szCs w:val="20"/>
      <w:lang w:val="ru-RU" w:eastAsia="ru-RU"/>
    </w:rPr>
  </w:style>
  <w:style w:type="paragraph" w:styleId="3">
    <w:name w:val="heading 3"/>
    <w:basedOn w:val="a"/>
    <w:next w:val="a"/>
    <w:link w:val="30"/>
    <w:uiPriority w:val="9"/>
    <w:semiHidden/>
    <w:unhideWhenUsed/>
    <w:qFormat/>
    <w:rsid w:val="006E21D2"/>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7AA6"/>
    <w:rPr>
      <w:rFonts w:ascii="Times New Roman" w:eastAsia="Times New Roman" w:hAnsi="Times New Roman" w:cs="Times New Roman"/>
      <w:b/>
      <w:sz w:val="18"/>
      <w:szCs w:val="20"/>
      <w:lang w:val="ru-RU" w:eastAsia="ru-RU"/>
    </w:rPr>
  </w:style>
  <w:style w:type="character" w:styleId="a3">
    <w:name w:val="Hyperlink"/>
    <w:uiPriority w:val="99"/>
    <w:unhideWhenUsed/>
    <w:rsid w:val="00387AA6"/>
    <w:rPr>
      <w:color w:val="0000FF"/>
      <w:u w:val="single"/>
    </w:rPr>
  </w:style>
  <w:style w:type="character" w:customStyle="1" w:styleId="rvts23">
    <w:name w:val="rvts23"/>
    <w:basedOn w:val="a0"/>
    <w:rsid w:val="00387AA6"/>
  </w:style>
  <w:style w:type="table" w:customStyle="1" w:styleId="11">
    <w:name w:val="Обычная таблица1"/>
    <w:uiPriority w:val="99"/>
    <w:semiHidden/>
    <w:rsid w:val="00387AA6"/>
    <w:rPr>
      <w:rFonts w:ascii="Times New Roman" w:eastAsia="Times New Roman" w:hAnsi="Times New Roman"/>
    </w:rPr>
    <w:tblPr>
      <w:tblCellMar>
        <w:top w:w="0" w:type="dxa"/>
        <w:left w:w="108" w:type="dxa"/>
        <w:bottom w:w="0" w:type="dxa"/>
        <w:right w:w="108" w:type="dxa"/>
      </w:tblCellMar>
    </w:tblPr>
  </w:style>
  <w:style w:type="paragraph" w:styleId="a4">
    <w:name w:val="header"/>
    <w:basedOn w:val="a"/>
    <w:link w:val="a5"/>
    <w:uiPriority w:val="99"/>
    <w:unhideWhenUsed/>
    <w:rsid w:val="00387AA6"/>
    <w:pPr>
      <w:tabs>
        <w:tab w:val="center" w:pos="4677"/>
        <w:tab w:val="right" w:pos="9355"/>
      </w:tabs>
    </w:pPr>
    <w:rPr>
      <w:lang w:val="ru-RU" w:eastAsia="ru-RU"/>
    </w:rPr>
  </w:style>
  <w:style w:type="character" w:customStyle="1" w:styleId="a5">
    <w:name w:val="Верхний колонтитул Знак"/>
    <w:link w:val="a4"/>
    <w:uiPriority w:val="99"/>
    <w:rsid w:val="00387AA6"/>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387AA6"/>
    <w:pPr>
      <w:tabs>
        <w:tab w:val="center" w:pos="4677"/>
        <w:tab w:val="right" w:pos="9355"/>
      </w:tabs>
    </w:pPr>
    <w:rPr>
      <w:lang w:val="ru-RU" w:eastAsia="ru-RU"/>
    </w:rPr>
  </w:style>
  <w:style w:type="character" w:customStyle="1" w:styleId="a7">
    <w:name w:val="Нижний колонтитул Знак"/>
    <w:link w:val="a6"/>
    <w:uiPriority w:val="99"/>
    <w:rsid w:val="00387AA6"/>
    <w:rPr>
      <w:rFonts w:ascii="Times New Roman" w:eastAsia="Times New Roman" w:hAnsi="Times New Roman" w:cs="Times New Roman"/>
      <w:sz w:val="24"/>
      <w:szCs w:val="24"/>
      <w:lang w:val="ru-RU" w:eastAsia="ru-RU"/>
    </w:rPr>
  </w:style>
  <w:style w:type="paragraph" w:customStyle="1" w:styleId="CharChar">
    <w:name w:val="Char Char"/>
    <w:basedOn w:val="a"/>
    <w:rsid w:val="00560D43"/>
    <w:rPr>
      <w:rFonts w:ascii="Verdana" w:hAnsi="Verdana" w:cs="Verdana"/>
      <w:sz w:val="20"/>
      <w:szCs w:val="20"/>
      <w:lang w:val="en-US" w:eastAsia="en-US"/>
    </w:rPr>
  </w:style>
  <w:style w:type="paragraph" w:customStyle="1" w:styleId="a8">
    <w:name w:val="Знак Знак"/>
    <w:basedOn w:val="a"/>
    <w:rsid w:val="00560D43"/>
    <w:rPr>
      <w:rFonts w:ascii="Verdana" w:hAnsi="Verdana" w:cs="Verdana"/>
      <w:sz w:val="20"/>
      <w:szCs w:val="20"/>
      <w:lang w:val="en-US" w:eastAsia="en-US"/>
    </w:rPr>
  </w:style>
  <w:style w:type="character" w:styleId="a9">
    <w:name w:val="Strong"/>
    <w:qFormat/>
    <w:rsid w:val="00F4426A"/>
    <w:rPr>
      <w:b/>
      <w:bCs/>
    </w:rPr>
  </w:style>
  <w:style w:type="paragraph" w:styleId="aa">
    <w:name w:val="Normal (Web)"/>
    <w:basedOn w:val="a"/>
    <w:rsid w:val="000D0A92"/>
    <w:pPr>
      <w:spacing w:before="100" w:beforeAutospacing="1" w:after="100" w:afterAutospacing="1"/>
    </w:pPr>
    <w:rPr>
      <w:lang w:val="ru-RU" w:eastAsia="ru-RU"/>
    </w:rPr>
  </w:style>
  <w:style w:type="paragraph" w:customStyle="1" w:styleId="CM4">
    <w:name w:val="CM4"/>
    <w:basedOn w:val="a"/>
    <w:next w:val="a"/>
    <w:rsid w:val="000D0A92"/>
    <w:pPr>
      <w:autoSpaceDE w:val="0"/>
      <w:autoSpaceDN w:val="0"/>
      <w:adjustRightInd w:val="0"/>
    </w:pPr>
    <w:rPr>
      <w:rFonts w:ascii="EUAlbertina" w:hAnsi="EUAlbertina"/>
    </w:rPr>
  </w:style>
  <w:style w:type="character" w:customStyle="1" w:styleId="HTML1">
    <w:name w:val="Пишущая машинка HTML1"/>
    <w:rsid w:val="005E1B41"/>
    <w:rPr>
      <w:sz w:val="20"/>
    </w:rPr>
  </w:style>
  <w:style w:type="paragraph" w:styleId="ab">
    <w:name w:val="Plain Text"/>
    <w:basedOn w:val="a"/>
    <w:link w:val="ac"/>
    <w:uiPriority w:val="99"/>
    <w:unhideWhenUsed/>
    <w:rsid w:val="008F0652"/>
    <w:rPr>
      <w:rFonts w:ascii="Calibri" w:hAnsi="Calibri"/>
      <w:sz w:val="22"/>
      <w:szCs w:val="21"/>
    </w:rPr>
  </w:style>
  <w:style w:type="character" w:customStyle="1" w:styleId="ac">
    <w:name w:val="Текст Знак"/>
    <w:basedOn w:val="a0"/>
    <w:link w:val="ab"/>
    <w:uiPriority w:val="99"/>
    <w:rsid w:val="008F0652"/>
    <w:rPr>
      <w:rFonts w:eastAsia="Times New Roman"/>
      <w:sz w:val="22"/>
      <w:szCs w:val="21"/>
    </w:rPr>
  </w:style>
  <w:style w:type="character" w:customStyle="1" w:styleId="xfmc1">
    <w:name w:val="xfmc1"/>
    <w:basedOn w:val="a0"/>
    <w:rsid w:val="00DB3F53"/>
  </w:style>
  <w:style w:type="paragraph" w:customStyle="1" w:styleId="qt-msonormal1">
    <w:name w:val="qt-msonormal1"/>
    <w:basedOn w:val="a"/>
    <w:rsid w:val="00946CF6"/>
    <w:rPr>
      <w:rFonts w:eastAsiaTheme="minorHAnsi"/>
    </w:rPr>
  </w:style>
  <w:style w:type="paragraph" w:styleId="ad">
    <w:name w:val="List Paragraph"/>
    <w:basedOn w:val="a"/>
    <w:uiPriority w:val="34"/>
    <w:qFormat/>
    <w:rsid w:val="003516D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rvps2">
    <w:name w:val="rvps2"/>
    <w:basedOn w:val="a"/>
    <w:rsid w:val="00C432CB"/>
    <w:pPr>
      <w:spacing w:before="100" w:beforeAutospacing="1" w:after="100" w:afterAutospacing="1"/>
    </w:pPr>
  </w:style>
  <w:style w:type="character" w:customStyle="1" w:styleId="rvts46">
    <w:name w:val="rvts46"/>
    <w:basedOn w:val="a0"/>
    <w:rsid w:val="00C432CB"/>
  </w:style>
  <w:style w:type="character" w:customStyle="1" w:styleId="rvts9">
    <w:name w:val="rvts9"/>
    <w:basedOn w:val="a0"/>
    <w:rsid w:val="002F20A8"/>
  </w:style>
  <w:style w:type="table" w:styleId="ae">
    <w:name w:val="Table Grid"/>
    <w:basedOn w:val="a1"/>
    <w:uiPriority w:val="39"/>
    <w:rsid w:val="00D2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27402A"/>
  </w:style>
  <w:style w:type="paragraph" w:customStyle="1" w:styleId="rvps7">
    <w:name w:val="rvps7"/>
    <w:basedOn w:val="a"/>
    <w:rsid w:val="00771907"/>
    <w:pPr>
      <w:spacing w:before="100" w:beforeAutospacing="1" w:after="100" w:afterAutospacing="1"/>
    </w:pPr>
  </w:style>
  <w:style w:type="character" w:customStyle="1" w:styleId="rvts15">
    <w:name w:val="rvts15"/>
    <w:basedOn w:val="a0"/>
    <w:rsid w:val="00771907"/>
  </w:style>
  <w:style w:type="character" w:customStyle="1" w:styleId="rvts37">
    <w:name w:val="rvts37"/>
    <w:basedOn w:val="a0"/>
    <w:rsid w:val="00771907"/>
  </w:style>
  <w:style w:type="paragraph" w:customStyle="1" w:styleId="rvps11">
    <w:name w:val="rvps11"/>
    <w:basedOn w:val="a"/>
    <w:rsid w:val="00771907"/>
    <w:pPr>
      <w:spacing w:before="100" w:beforeAutospacing="1" w:after="100" w:afterAutospacing="1"/>
    </w:pPr>
  </w:style>
  <w:style w:type="character" w:customStyle="1" w:styleId="rvts11">
    <w:name w:val="rvts11"/>
    <w:basedOn w:val="a0"/>
    <w:rsid w:val="00771907"/>
  </w:style>
  <w:style w:type="paragraph" w:customStyle="1" w:styleId="rvps12">
    <w:name w:val="rvps12"/>
    <w:basedOn w:val="a"/>
    <w:rsid w:val="009112C5"/>
    <w:pPr>
      <w:spacing w:before="100" w:beforeAutospacing="1" w:after="100" w:afterAutospacing="1"/>
    </w:pPr>
  </w:style>
  <w:style w:type="paragraph" w:customStyle="1" w:styleId="rvps14">
    <w:name w:val="rvps14"/>
    <w:basedOn w:val="a"/>
    <w:rsid w:val="009112C5"/>
    <w:pPr>
      <w:spacing w:before="100" w:beforeAutospacing="1" w:after="100" w:afterAutospacing="1"/>
    </w:pPr>
  </w:style>
  <w:style w:type="character" w:customStyle="1" w:styleId="30">
    <w:name w:val="Заголовок 3 Знак"/>
    <w:basedOn w:val="a0"/>
    <w:link w:val="3"/>
    <w:uiPriority w:val="9"/>
    <w:semiHidden/>
    <w:rsid w:val="006E21D2"/>
    <w:rPr>
      <w:rFonts w:asciiTheme="majorHAnsi" w:eastAsiaTheme="majorEastAsia" w:hAnsiTheme="majorHAnsi" w:cstheme="majorBidi"/>
      <w:color w:val="1F4D78" w:themeColor="accent1" w:themeShade="7F"/>
      <w:sz w:val="24"/>
      <w:szCs w:val="24"/>
    </w:rPr>
  </w:style>
  <w:style w:type="character" w:styleId="af">
    <w:name w:val="Emphasis"/>
    <w:basedOn w:val="a0"/>
    <w:uiPriority w:val="20"/>
    <w:qFormat/>
    <w:rsid w:val="00224D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1425">
      <w:bodyDiv w:val="1"/>
      <w:marLeft w:val="0"/>
      <w:marRight w:val="0"/>
      <w:marTop w:val="0"/>
      <w:marBottom w:val="0"/>
      <w:divBdr>
        <w:top w:val="none" w:sz="0" w:space="0" w:color="auto"/>
        <w:left w:val="none" w:sz="0" w:space="0" w:color="auto"/>
        <w:bottom w:val="none" w:sz="0" w:space="0" w:color="auto"/>
        <w:right w:val="none" w:sz="0" w:space="0" w:color="auto"/>
      </w:divBdr>
    </w:div>
    <w:div w:id="240263482">
      <w:bodyDiv w:val="1"/>
      <w:marLeft w:val="0"/>
      <w:marRight w:val="0"/>
      <w:marTop w:val="0"/>
      <w:marBottom w:val="0"/>
      <w:divBdr>
        <w:top w:val="none" w:sz="0" w:space="0" w:color="auto"/>
        <w:left w:val="none" w:sz="0" w:space="0" w:color="auto"/>
        <w:bottom w:val="none" w:sz="0" w:space="0" w:color="auto"/>
        <w:right w:val="none" w:sz="0" w:space="0" w:color="auto"/>
      </w:divBdr>
    </w:div>
    <w:div w:id="496001786">
      <w:bodyDiv w:val="1"/>
      <w:marLeft w:val="0"/>
      <w:marRight w:val="0"/>
      <w:marTop w:val="0"/>
      <w:marBottom w:val="0"/>
      <w:divBdr>
        <w:top w:val="none" w:sz="0" w:space="0" w:color="auto"/>
        <w:left w:val="none" w:sz="0" w:space="0" w:color="auto"/>
        <w:bottom w:val="none" w:sz="0" w:space="0" w:color="auto"/>
        <w:right w:val="none" w:sz="0" w:space="0" w:color="auto"/>
      </w:divBdr>
    </w:div>
    <w:div w:id="578292395">
      <w:bodyDiv w:val="1"/>
      <w:marLeft w:val="0"/>
      <w:marRight w:val="0"/>
      <w:marTop w:val="0"/>
      <w:marBottom w:val="0"/>
      <w:divBdr>
        <w:top w:val="none" w:sz="0" w:space="0" w:color="auto"/>
        <w:left w:val="none" w:sz="0" w:space="0" w:color="auto"/>
        <w:bottom w:val="none" w:sz="0" w:space="0" w:color="auto"/>
        <w:right w:val="none" w:sz="0" w:space="0" w:color="auto"/>
      </w:divBdr>
    </w:div>
    <w:div w:id="608316970">
      <w:bodyDiv w:val="1"/>
      <w:marLeft w:val="0"/>
      <w:marRight w:val="0"/>
      <w:marTop w:val="0"/>
      <w:marBottom w:val="0"/>
      <w:divBdr>
        <w:top w:val="none" w:sz="0" w:space="0" w:color="auto"/>
        <w:left w:val="none" w:sz="0" w:space="0" w:color="auto"/>
        <w:bottom w:val="none" w:sz="0" w:space="0" w:color="auto"/>
        <w:right w:val="none" w:sz="0" w:space="0" w:color="auto"/>
      </w:divBdr>
    </w:div>
    <w:div w:id="677318610">
      <w:bodyDiv w:val="1"/>
      <w:marLeft w:val="0"/>
      <w:marRight w:val="0"/>
      <w:marTop w:val="0"/>
      <w:marBottom w:val="0"/>
      <w:divBdr>
        <w:top w:val="none" w:sz="0" w:space="0" w:color="auto"/>
        <w:left w:val="none" w:sz="0" w:space="0" w:color="auto"/>
        <w:bottom w:val="none" w:sz="0" w:space="0" w:color="auto"/>
        <w:right w:val="none" w:sz="0" w:space="0" w:color="auto"/>
      </w:divBdr>
    </w:div>
    <w:div w:id="700980984">
      <w:bodyDiv w:val="1"/>
      <w:marLeft w:val="0"/>
      <w:marRight w:val="0"/>
      <w:marTop w:val="0"/>
      <w:marBottom w:val="0"/>
      <w:divBdr>
        <w:top w:val="none" w:sz="0" w:space="0" w:color="auto"/>
        <w:left w:val="none" w:sz="0" w:space="0" w:color="auto"/>
        <w:bottom w:val="none" w:sz="0" w:space="0" w:color="auto"/>
        <w:right w:val="none" w:sz="0" w:space="0" w:color="auto"/>
      </w:divBdr>
    </w:div>
    <w:div w:id="781344281">
      <w:bodyDiv w:val="1"/>
      <w:marLeft w:val="0"/>
      <w:marRight w:val="0"/>
      <w:marTop w:val="0"/>
      <w:marBottom w:val="0"/>
      <w:divBdr>
        <w:top w:val="none" w:sz="0" w:space="0" w:color="auto"/>
        <w:left w:val="none" w:sz="0" w:space="0" w:color="auto"/>
        <w:bottom w:val="none" w:sz="0" w:space="0" w:color="auto"/>
        <w:right w:val="none" w:sz="0" w:space="0" w:color="auto"/>
      </w:divBdr>
    </w:div>
    <w:div w:id="828643195">
      <w:bodyDiv w:val="1"/>
      <w:marLeft w:val="0"/>
      <w:marRight w:val="0"/>
      <w:marTop w:val="0"/>
      <w:marBottom w:val="0"/>
      <w:divBdr>
        <w:top w:val="none" w:sz="0" w:space="0" w:color="auto"/>
        <w:left w:val="none" w:sz="0" w:space="0" w:color="auto"/>
        <w:bottom w:val="none" w:sz="0" w:space="0" w:color="auto"/>
        <w:right w:val="none" w:sz="0" w:space="0" w:color="auto"/>
      </w:divBdr>
    </w:div>
    <w:div w:id="864640711">
      <w:bodyDiv w:val="1"/>
      <w:marLeft w:val="0"/>
      <w:marRight w:val="0"/>
      <w:marTop w:val="0"/>
      <w:marBottom w:val="0"/>
      <w:divBdr>
        <w:top w:val="none" w:sz="0" w:space="0" w:color="auto"/>
        <w:left w:val="none" w:sz="0" w:space="0" w:color="auto"/>
        <w:bottom w:val="none" w:sz="0" w:space="0" w:color="auto"/>
        <w:right w:val="none" w:sz="0" w:space="0" w:color="auto"/>
      </w:divBdr>
    </w:div>
    <w:div w:id="952321779">
      <w:bodyDiv w:val="1"/>
      <w:marLeft w:val="0"/>
      <w:marRight w:val="0"/>
      <w:marTop w:val="0"/>
      <w:marBottom w:val="0"/>
      <w:divBdr>
        <w:top w:val="none" w:sz="0" w:space="0" w:color="auto"/>
        <w:left w:val="none" w:sz="0" w:space="0" w:color="auto"/>
        <w:bottom w:val="none" w:sz="0" w:space="0" w:color="auto"/>
        <w:right w:val="none" w:sz="0" w:space="0" w:color="auto"/>
      </w:divBdr>
      <w:divsChild>
        <w:div w:id="383676060">
          <w:marLeft w:val="0"/>
          <w:marRight w:val="0"/>
          <w:marTop w:val="0"/>
          <w:marBottom w:val="0"/>
          <w:divBdr>
            <w:top w:val="none" w:sz="0" w:space="0" w:color="auto"/>
            <w:left w:val="none" w:sz="0" w:space="0" w:color="auto"/>
            <w:bottom w:val="none" w:sz="0" w:space="0" w:color="auto"/>
            <w:right w:val="none" w:sz="0" w:space="0" w:color="auto"/>
          </w:divBdr>
        </w:div>
        <w:div w:id="274677889">
          <w:marLeft w:val="0"/>
          <w:marRight w:val="0"/>
          <w:marTop w:val="0"/>
          <w:marBottom w:val="0"/>
          <w:divBdr>
            <w:top w:val="none" w:sz="0" w:space="0" w:color="auto"/>
            <w:left w:val="none" w:sz="0" w:space="0" w:color="auto"/>
            <w:bottom w:val="none" w:sz="0" w:space="0" w:color="auto"/>
            <w:right w:val="none" w:sz="0" w:space="0" w:color="auto"/>
          </w:divBdr>
        </w:div>
        <w:div w:id="936714040">
          <w:marLeft w:val="0"/>
          <w:marRight w:val="0"/>
          <w:marTop w:val="0"/>
          <w:marBottom w:val="0"/>
          <w:divBdr>
            <w:top w:val="none" w:sz="0" w:space="0" w:color="auto"/>
            <w:left w:val="none" w:sz="0" w:space="0" w:color="auto"/>
            <w:bottom w:val="none" w:sz="0" w:space="0" w:color="auto"/>
            <w:right w:val="none" w:sz="0" w:space="0" w:color="auto"/>
          </w:divBdr>
        </w:div>
        <w:div w:id="666715070">
          <w:marLeft w:val="0"/>
          <w:marRight w:val="0"/>
          <w:marTop w:val="0"/>
          <w:marBottom w:val="0"/>
          <w:divBdr>
            <w:top w:val="none" w:sz="0" w:space="0" w:color="auto"/>
            <w:left w:val="none" w:sz="0" w:space="0" w:color="auto"/>
            <w:bottom w:val="none" w:sz="0" w:space="0" w:color="auto"/>
            <w:right w:val="none" w:sz="0" w:space="0" w:color="auto"/>
          </w:divBdr>
        </w:div>
        <w:div w:id="1953316840">
          <w:marLeft w:val="0"/>
          <w:marRight w:val="0"/>
          <w:marTop w:val="0"/>
          <w:marBottom w:val="0"/>
          <w:divBdr>
            <w:top w:val="none" w:sz="0" w:space="0" w:color="auto"/>
            <w:left w:val="none" w:sz="0" w:space="0" w:color="auto"/>
            <w:bottom w:val="none" w:sz="0" w:space="0" w:color="auto"/>
            <w:right w:val="none" w:sz="0" w:space="0" w:color="auto"/>
          </w:divBdr>
        </w:div>
        <w:div w:id="957680889">
          <w:marLeft w:val="0"/>
          <w:marRight w:val="0"/>
          <w:marTop w:val="0"/>
          <w:marBottom w:val="0"/>
          <w:divBdr>
            <w:top w:val="none" w:sz="0" w:space="0" w:color="auto"/>
            <w:left w:val="none" w:sz="0" w:space="0" w:color="auto"/>
            <w:bottom w:val="none" w:sz="0" w:space="0" w:color="auto"/>
            <w:right w:val="none" w:sz="0" w:space="0" w:color="auto"/>
          </w:divBdr>
        </w:div>
        <w:div w:id="859779384">
          <w:marLeft w:val="0"/>
          <w:marRight w:val="0"/>
          <w:marTop w:val="0"/>
          <w:marBottom w:val="0"/>
          <w:divBdr>
            <w:top w:val="none" w:sz="0" w:space="0" w:color="auto"/>
            <w:left w:val="none" w:sz="0" w:space="0" w:color="auto"/>
            <w:bottom w:val="none" w:sz="0" w:space="0" w:color="auto"/>
            <w:right w:val="none" w:sz="0" w:space="0" w:color="auto"/>
          </w:divBdr>
        </w:div>
      </w:divsChild>
    </w:div>
    <w:div w:id="1543592719">
      <w:bodyDiv w:val="1"/>
      <w:marLeft w:val="0"/>
      <w:marRight w:val="0"/>
      <w:marTop w:val="0"/>
      <w:marBottom w:val="0"/>
      <w:divBdr>
        <w:top w:val="none" w:sz="0" w:space="0" w:color="auto"/>
        <w:left w:val="none" w:sz="0" w:space="0" w:color="auto"/>
        <w:bottom w:val="none" w:sz="0" w:space="0" w:color="auto"/>
        <w:right w:val="none" w:sz="0" w:space="0" w:color="auto"/>
      </w:divBdr>
    </w:div>
    <w:div w:id="1570842658">
      <w:bodyDiv w:val="1"/>
      <w:marLeft w:val="0"/>
      <w:marRight w:val="0"/>
      <w:marTop w:val="0"/>
      <w:marBottom w:val="0"/>
      <w:divBdr>
        <w:top w:val="none" w:sz="0" w:space="0" w:color="auto"/>
        <w:left w:val="none" w:sz="0" w:space="0" w:color="auto"/>
        <w:bottom w:val="none" w:sz="0" w:space="0" w:color="auto"/>
        <w:right w:val="none" w:sz="0" w:space="0" w:color="auto"/>
      </w:divBdr>
    </w:div>
    <w:div w:id="1709835195">
      <w:bodyDiv w:val="1"/>
      <w:marLeft w:val="0"/>
      <w:marRight w:val="0"/>
      <w:marTop w:val="0"/>
      <w:marBottom w:val="0"/>
      <w:divBdr>
        <w:top w:val="none" w:sz="0" w:space="0" w:color="auto"/>
        <w:left w:val="none" w:sz="0" w:space="0" w:color="auto"/>
        <w:bottom w:val="none" w:sz="0" w:space="0" w:color="auto"/>
        <w:right w:val="none" w:sz="0" w:space="0" w:color="auto"/>
      </w:divBdr>
      <w:divsChild>
        <w:div w:id="444426051">
          <w:marLeft w:val="0"/>
          <w:marRight w:val="0"/>
          <w:marTop w:val="0"/>
          <w:marBottom w:val="0"/>
          <w:divBdr>
            <w:top w:val="none" w:sz="0" w:space="0" w:color="auto"/>
            <w:left w:val="none" w:sz="0" w:space="0" w:color="auto"/>
            <w:bottom w:val="none" w:sz="0" w:space="0" w:color="auto"/>
            <w:right w:val="none" w:sz="0" w:space="0" w:color="auto"/>
          </w:divBdr>
        </w:div>
        <w:div w:id="356925442">
          <w:marLeft w:val="0"/>
          <w:marRight w:val="0"/>
          <w:marTop w:val="0"/>
          <w:marBottom w:val="0"/>
          <w:divBdr>
            <w:top w:val="none" w:sz="0" w:space="0" w:color="auto"/>
            <w:left w:val="none" w:sz="0" w:space="0" w:color="auto"/>
            <w:bottom w:val="none" w:sz="0" w:space="0" w:color="auto"/>
            <w:right w:val="none" w:sz="0" w:space="0" w:color="auto"/>
          </w:divBdr>
        </w:div>
        <w:div w:id="474301487">
          <w:marLeft w:val="0"/>
          <w:marRight w:val="0"/>
          <w:marTop w:val="0"/>
          <w:marBottom w:val="0"/>
          <w:divBdr>
            <w:top w:val="none" w:sz="0" w:space="0" w:color="auto"/>
            <w:left w:val="none" w:sz="0" w:space="0" w:color="auto"/>
            <w:bottom w:val="none" w:sz="0" w:space="0" w:color="auto"/>
            <w:right w:val="none" w:sz="0" w:space="0" w:color="auto"/>
          </w:divBdr>
        </w:div>
      </w:divsChild>
    </w:div>
    <w:div w:id="1725326556">
      <w:bodyDiv w:val="1"/>
      <w:marLeft w:val="0"/>
      <w:marRight w:val="0"/>
      <w:marTop w:val="0"/>
      <w:marBottom w:val="0"/>
      <w:divBdr>
        <w:top w:val="none" w:sz="0" w:space="0" w:color="auto"/>
        <w:left w:val="none" w:sz="0" w:space="0" w:color="auto"/>
        <w:bottom w:val="none" w:sz="0" w:space="0" w:color="auto"/>
        <w:right w:val="none" w:sz="0" w:space="0" w:color="auto"/>
      </w:divBdr>
    </w:div>
    <w:div w:id="1756785535">
      <w:bodyDiv w:val="1"/>
      <w:marLeft w:val="0"/>
      <w:marRight w:val="0"/>
      <w:marTop w:val="0"/>
      <w:marBottom w:val="0"/>
      <w:divBdr>
        <w:top w:val="none" w:sz="0" w:space="0" w:color="auto"/>
        <w:left w:val="none" w:sz="0" w:space="0" w:color="auto"/>
        <w:bottom w:val="none" w:sz="0" w:space="0" w:color="auto"/>
        <w:right w:val="none" w:sz="0" w:space="0" w:color="auto"/>
      </w:divBdr>
      <w:divsChild>
        <w:div w:id="1105923793">
          <w:marLeft w:val="0"/>
          <w:marRight w:val="0"/>
          <w:marTop w:val="0"/>
          <w:marBottom w:val="0"/>
          <w:divBdr>
            <w:top w:val="none" w:sz="0" w:space="0" w:color="auto"/>
            <w:left w:val="none" w:sz="0" w:space="0" w:color="auto"/>
            <w:bottom w:val="none" w:sz="0" w:space="0" w:color="auto"/>
            <w:right w:val="none" w:sz="0" w:space="0" w:color="auto"/>
          </w:divBdr>
        </w:div>
        <w:div w:id="1751611447">
          <w:marLeft w:val="0"/>
          <w:marRight w:val="0"/>
          <w:marTop w:val="0"/>
          <w:marBottom w:val="0"/>
          <w:divBdr>
            <w:top w:val="none" w:sz="0" w:space="0" w:color="auto"/>
            <w:left w:val="none" w:sz="0" w:space="0" w:color="auto"/>
            <w:bottom w:val="none" w:sz="0" w:space="0" w:color="auto"/>
            <w:right w:val="none" w:sz="0" w:space="0" w:color="auto"/>
          </w:divBdr>
        </w:div>
        <w:div w:id="61486260">
          <w:marLeft w:val="0"/>
          <w:marRight w:val="0"/>
          <w:marTop w:val="0"/>
          <w:marBottom w:val="0"/>
          <w:divBdr>
            <w:top w:val="none" w:sz="0" w:space="0" w:color="auto"/>
            <w:left w:val="none" w:sz="0" w:space="0" w:color="auto"/>
            <w:bottom w:val="none" w:sz="0" w:space="0" w:color="auto"/>
            <w:right w:val="none" w:sz="0" w:space="0" w:color="auto"/>
          </w:divBdr>
        </w:div>
      </w:divsChild>
    </w:div>
    <w:div w:id="1790201556">
      <w:bodyDiv w:val="1"/>
      <w:marLeft w:val="0"/>
      <w:marRight w:val="0"/>
      <w:marTop w:val="0"/>
      <w:marBottom w:val="0"/>
      <w:divBdr>
        <w:top w:val="none" w:sz="0" w:space="0" w:color="auto"/>
        <w:left w:val="none" w:sz="0" w:space="0" w:color="auto"/>
        <w:bottom w:val="none" w:sz="0" w:space="0" w:color="auto"/>
        <w:right w:val="none" w:sz="0" w:space="0" w:color="auto"/>
      </w:divBdr>
    </w:div>
    <w:div w:id="1901400120">
      <w:bodyDiv w:val="1"/>
      <w:marLeft w:val="0"/>
      <w:marRight w:val="0"/>
      <w:marTop w:val="0"/>
      <w:marBottom w:val="0"/>
      <w:divBdr>
        <w:top w:val="none" w:sz="0" w:space="0" w:color="auto"/>
        <w:left w:val="none" w:sz="0" w:space="0" w:color="auto"/>
        <w:bottom w:val="none" w:sz="0" w:space="0" w:color="auto"/>
        <w:right w:val="none" w:sz="0" w:space="0" w:color="auto"/>
      </w:divBdr>
    </w:div>
    <w:div w:id="19274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uaib.com.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3555</Words>
  <Characters>2027</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CharactersWithSpaces>
  <SharedDoc>false</SharedDoc>
  <HLinks>
    <vt:vector size="6" baseType="variant">
      <vt:variant>
        <vt:i4>6225944</vt:i4>
      </vt:variant>
      <vt:variant>
        <vt:i4>0</vt:i4>
      </vt:variant>
      <vt:variant>
        <vt:i4>0</vt:i4>
      </vt:variant>
      <vt:variant>
        <vt:i4>5</vt:i4>
      </vt:variant>
      <vt:variant>
        <vt:lpwstr>http://eur-lex.europa.eu/LexUriServ/LexUriServ.do?uri=OJ:L:2009:302:0032:0096:EN:PDF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gavrylyuk</dc:creator>
  <cp:keywords/>
  <dc:description/>
  <cp:lastModifiedBy>gavrylyuk</cp:lastModifiedBy>
  <cp:revision>5</cp:revision>
  <cp:lastPrinted>2023-11-21T13:56:00Z</cp:lastPrinted>
  <dcterms:created xsi:type="dcterms:W3CDTF">2023-11-21T14:14:00Z</dcterms:created>
  <dcterms:modified xsi:type="dcterms:W3CDTF">2023-11-21T14:48:00Z</dcterms:modified>
</cp:coreProperties>
</file>